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7" w:rsidRDefault="00123BE7" w:rsidP="000B69EA">
      <w:pPr>
        <w:jc w:val="center"/>
        <w:rPr>
          <w:b/>
          <w:sz w:val="36"/>
          <w:szCs w:val="36"/>
        </w:rPr>
      </w:pPr>
      <w:r w:rsidRPr="00123BE7">
        <w:rPr>
          <w:b/>
          <w:sz w:val="36"/>
          <w:szCs w:val="36"/>
        </w:rPr>
        <w:t>Age and Medicare Utilization in Ocean County, New Jersey</w:t>
      </w:r>
    </w:p>
    <w:p w:rsidR="000B69EA" w:rsidRDefault="000B69EA" w:rsidP="000B69EA">
      <w:pPr>
        <w:jc w:val="center"/>
        <w:rPr>
          <w:b/>
          <w:sz w:val="36"/>
          <w:szCs w:val="36"/>
        </w:rPr>
      </w:pPr>
      <w:r>
        <w:rPr>
          <w:b/>
          <w:sz w:val="36"/>
          <w:szCs w:val="36"/>
        </w:rPr>
        <w:t>Presentation to Zoning Board of Adjustment</w:t>
      </w:r>
    </w:p>
    <w:p w:rsidR="00123BE7" w:rsidRPr="00123BE7" w:rsidRDefault="00123BE7">
      <w:pPr>
        <w:rPr>
          <w:b/>
          <w:sz w:val="36"/>
          <w:szCs w:val="36"/>
        </w:rPr>
      </w:pPr>
    </w:p>
    <w:p w:rsidR="009865B7" w:rsidRDefault="00123BE7">
      <w:pPr>
        <w:rPr>
          <w:szCs w:val="24"/>
        </w:rPr>
      </w:pPr>
      <w:r>
        <w:rPr>
          <w:noProof/>
          <w:szCs w:val="24"/>
        </w:rPr>
        <w:drawing>
          <wp:inline distT="0" distB="0" distL="0" distR="0" wp14:anchorId="47DA22A0" wp14:editId="166F2D25">
            <wp:extent cx="5943600" cy="5665932"/>
            <wp:effectExtent l="0" t="0" r="0" b="0"/>
            <wp:docPr id="8" name="Picture 8" descr="C:\Users\Cissyleslie\Documents\William Burris\Toms River\Toms River Population Age 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syleslie\Documents\William Burris\Toms River\Toms River Population Age 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65932"/>
                    </a:xfrm>
                    <a:prstGeom prst="rect">
                      <a:avLst/>
                    </a:prstGeom>
                    <a:noFill/>
                    <a:ln>
                      <a:noFill/>
                    </a:ln>
                  </pic:spPr>
                </pic:pic>
              </a:graphicData>
            </a:graphic>
          </wp:inline>
        </w:drawing>
      </w:r>
    </w:p>
    <w:p w:rsidR="00FD659A" w:rsidRDefault="00FD659A">
      <w:pPr>
        <w:rPr>
          <w:szCs w:val="24"/>
        </w:rPr>
      </w:pPr>
    </w:p>
    <w:p w:rsidR="00FD659A" w:rsidRPr="00123BE7" w:rsidRDefault="00CB239D" w:rsidP="00123BE7">
      <w:pPr>
        <w:jc w:val="center"/>
        <w:rPr>
          <w:b/>
          <w:sz w:val="36"/>
          <w:szCs w:val="36"/>
        </w:rPr>
      </w:pPr>
      <w:r>
        <w:rPr>
          <w:b/>
          <w:sz w:val="36"/>
          <w:szCs w:val="36"/>
        </w:rPr>
        <w:t>October</w:t>
      </w:r>
      <w:r w:rsidR="00123BE7" w:rsidRPr="00123BE7">
        <w:rPr>
          <w:b/>
          <w:sz w:val="36"/>
          <w:szCs w:val="36"/>
        </w:rPr>
        <w:t xml:space="preserve"> </w:t>
      </w:r>
      <w:r w:rsidR="000E0A61">
        <w:rPr>
          <w:b/>
          <w:sz w:val="36"/>
          <w:szCs w:val="36"/>
        </w:rPr>
        <w:t xml:space="preserve">16, </w:t>
      </w:r>
      <w:r w:rsidR="00123BE7" w:rsidRPr="00123BE7">
        <w:rPr>
          <w:b/>
          <w:sz w:val="36"/>
          <w:szCs w:val="36"/>
        </w:rPr>
        <w:t>2014</w:t>
      </w:r>
    </w:p>
    <w:p w:rsidR="009F0E49" w:rsidRDefault="004E345F" w:rsidP="009B67F8">
      <w:pPr>
        <w:pStyle w:val="NoSpacing"/>
        <w:jc w:val="both"/>
      </w:pPr>
      <w:r w:rsidRPr="004E345F">
        <w:lastRenderedPageBreak/>
        <w:t xml:space="preserve">I have been asked to </w:t>
      </w:r>
      <w:r w:rsidR="000E0A61">
        <w:t>provide an opinion</w:t>
      </w:r>
      <w:r w:rsidRPr="004E345F">
        <w:t xml:space="preserve"> on </w:t>
      </w:r>
      <w:r w:rsidR="00A06AE8">
        <w:t xml:space="preserve">two topics. </w:t>
      </w:r>
      <w:r w:rsidR="00A06AE8" w:rsidRPr="00A06AE8">
        <w:rPr>
          <w:b/>
        </w:rPr>
        <w:t>First</w:t>
      </w:r>
      <w:r w:rsidR="00A06AE8">
        <w:rPr>
          <w:b/>
        </w:rPr>
        <w:t>,</w:t>
      </w:r>
      <w:r w:rsidR="00A06AE8">
        <w:t xml:space="preserve"> is there a </w:t>
      </w:r>
      <w:r w:rsidR="005F3132">
        <w:t>need in Toms River for a nursing home providing skilled post</w:t>
      </w:r>
      <w:r w:rsidR="000E0A61">
        <w:t>-</w:t>
      </w:r>
      <w:r w:rsidR="005F3132">
        <w:t>hospital nursing services</w:t>
      </w:r>
      <w:r w:rsidR="00A06AE8">
        <w:t xml:space="preserve">? </w:t>
      </w:r>
      <w:r w:rsidR="00A06AE8" w:rsidRPr="00A06AE8">
        <w:rPr>
          <w:b/>
        </w:rPr>
        <w:t>Second</w:t>
      </w:r>
      <w:r w:rsidR="00A06AE8">
        <w:t xml:space="preserve">, are occupancy rates in existing nursing homes so low that no new nursing homes </w:t>
      </w:r>
      <w:r w:rsidR="00C420A0">
        <w:t xml:space="preserve">of any kind </w:t>
      </w:r>
      <w:r w:rsidR="00A06AE8">
        <w:t xml:space="preserve">should be built in </w:t>
      </w:r>
      <w:r w:rsidRPr="004E345F">
        <w:t>Ocean County</w:t>
      </w:r>
      <w:r w:rsidR="00A06AE8">
        <w:t>?</w:t>
      </w:r>
      <w:r w:rsidR="005F3132">
        <w:t xml:space="preserve"> </w:t>
      </w:r>
      <w:r w:rsidRPr="004E345F">
        <w:t xml:space="preserve"> </w:t>
      </w:r>
    </w:p>
    <w:p w:rsidR="00BC2EA5" w:rsidRDefault="00BC2EA5" w:rsidP="009B67F8">
      <w:pPr>
        <w:pStyle w:val="NoSpacing"/>
        <w:jc w:val="both"/>
      </w:pPr>
    </w:p>
    <w:p w:rsidR="00BC2EA5" w:rsidRPr="009B0FC0" w:rsidRDefault="00BC2EA5" w:rsidP="00BC2EA5">
      <w:pPr>
        <w:pStyle w:val="NoSpacing"/>
        <w:jc w:val="both"/>
      </w:pPr>
      <w:r w:rsidRPr="009B0FC0">
        <w:t xml:space="preserve">The proposed </w:t>
      </w:r>
      <w:r>
        <w:t xml:space="preserve">124-bed </w:t>
      </w:r>
      <w:r w:rsidRPr="009B0FC0">
        <w:t xml:space="preserve">nursing program at Toms River is </w:t>
      </w:r>
      <w:r>
        <w:t xml:space="preserve">needed and will </w:t>
      </w:r>
      <w:r w:rsidRPr="009B0FC0">
        <w:t>provide short</w:t>
      </w:r>
      <w:r>
        <w:t>-</w:t>
      </w:r>
      <w:r w:rsidRPr="009B0FC0">
        <w:t xml:space="preserve">term skilled </w:t>
      </w:r>
      <w:r>
        <w:t xml:space="preserve">medical and rehabilitation </w:t>
      </w:r>
      <w:r w:rsidRPr="009B0FC0">
        <w:t xml:space="preserve">services </w:t>
      </w:r>
      <w:r>
        <w:t>required</w:t>
      </w:r>
      <w:r w:rsidRPr="009B0FC0">
        <w:t xml:space="preserve"> by persons being discharged from the hospital. </w:t>
      </w:r>
      <w:r>
        <w:t xml:space="preserve">This facility </w:t>
      </w:r>
      <w:r w:rsidRPr="009B0FC0">
        <w:t xml:space="preserve">will have no impact on the occupancy rates of homes providing long-term custodial care. </w:t>
      </w:r>
    </w:p>
    <w:p w:rsidR="004E345F" w:rsidRDefault="004E345F" w:rsidP="009B67F8">
      <w:pPr>
        <w:pStyle w:val="NoSpacing"/>
        <w:jc w:val="both"/>
        <w:rPr>
          <w:b/>
        </w:rPr>
      </w:pPr>
    </w:p>
    <w:p w:rsidR="004E345F" w:rsidRDefault="004E345F" w:rsidP="004E345F">
      <w:pPr>
        <w:pStyle w:val="NoSpacing"/>
        <w:jc w:val="both"/>
        <w:rPr>
          <w:b/>
        </w:rPr>
      </w:pPr>
      <w:r>
        <w:rPr>
          <w:b/>
        </w:rPr>
        <w:t>Summary of Findings</w:t>
      </w:r>
    </w:p>
    <w:p w:rsidR="004E345F" w:rsidRDefault="004E345F" w:rsidP="009B67F8">
      <w:pPr>
        <w:pStyle w:val="NoSpacing"/>
        <w:jc w:val="both"/>
        <w:rPr>
          <w:b/>
        </w:rPr>
      </w:pPr>
    </w:p>
    <w:p w:rsidR="009F0E49" w:rsidRPr="00C50DC4" w:rsidRDefault="004E345F" w:rsidP="009B0FC0">
      <w:pPr>
        <w:pStyle w:val="NoSpacing"/>
        <w:numPr>
          <w:ilvl w:val="0"/>
          <w:numId w:val="1"/>
        </w:numPr>
        <w:jc w:val="both"/>
      </w:pPr>
      <w:r w:rsidRPr="00C50DC4">
        <w:t xml:space="preserve">The beds used in the proposed </w:t>
      </w:r>
      <w:r w:rsidR="000E0A61">
        <w:t xml:space="preserve">124-bed </w:t>
      </w:r>
      <w:r w:rsidRPr="00C50DC4">
        <w:t>skilled nursing care program in Toms River were transferred from other nursing homes in Ocean County</w:t>
      </w:r>
      <w:r w:rsidR="00BC2EA5">
        <w:t xml:space="preserve"> and</w:t>
      </w:r>
      <w:r w:rsidRPr="00C50DC4">
        <w:t xml:space="preserve"> were part of a transaction </w:t>
      </w:r>
      <w:r w:rsidR="00A06AE8">
        <w:t>involving 291 beds of which 124 were included in the proposed Toms River home</w:t>
      </w:r>
      <w:r w:rsidR="00C420A0">
        <w:t>,</w:t>
      </w:r>
      <w:r w:rsidR="00A06AE8">
        <w:t xml:space="preserve"> </w:t>
      </w:r>
      <w:r w:rsidRPr="00C50DC4">
        <w:t xml:space="preserve">114 beds </w:t>
      </w:r>
      <w:r w:rsidR="00A06AE8">
        <w:t xml:space="preserve">were transferred </w:t>
      </w:r>
      <w:r w:rsidRPr="00C50DC4">
        <w:t xml:space="preserve">from Ocean to Atlantic County and 53 beds </w:t>
      </w:r>
      <w:r w:rsidR="00A06AE8">
        <w:t xml:space="preserve">were transferred </w:t>
      </w:r>
      <w:r w:rsidRPr="00C50DC4">
        <w:t>from Ocean to Monmouth County. Thus the net result of this transaction will be an increase in the occupancy rates of existing homes in Ocean County</w:t>
      </w:r>
      <w:r w:rsidR="0070243B">
        <w:t xml:space="preserve"> because 167 beds were transferred out of Ocean County</w:t>
      </w:r>
      <w:r w:rsidRPr="00C50DC4">
        <w:t xml:space="preserve">.  </w:t>
      </w:r>
      <w:r w:rsidR="00A06AE8">
        <w:t>(</w:t>
      </w:r>
      <w:r w:rsidR="00A06AE8" w:rsidRPr="00A06AE8">
        <w:rPr>
          <w:b/>
        </w:rPr>
        <w:t>Figure 1</w:t>
      </w:r>
      <w:r w:rsidR="00A06AE8">
        <w:t>)</w:t>
      </w:r>
      <w:r w:rsidRPr="00C50DC4">
        <w:t xml:space="preserve"> </w:t>
      </w:r>
    </w:p>
    <w:p w:rsidR="004E345F" w:rsidRPr="00C50DC4" w:rsidRDefault="004E345F" w:rsidP="009B67F8">
      <w:pPr>
        <w:pStyle w:val="NoSpacing"/>
        <w:jc w:val="both"/>
      </w:pPr>
    </w:p>
    <w:p w:rsidR="004E345F" w:rsidRPr="00C50DC4" w:rsidRDefault="00113602" w:rsidP="009B0FC0">
      <w:pPr>
        <w:pStyle w:val="NoSpacing"/>
        <w:numPr>
          <w:ilvl w:val="0"/>
          <w:numId w:val="1"/>
        </w:numPr>
        <w:jc w:val="both"/>
      </w:pPr>
      <w:r w:rsidRPr="00A06AE8">
        <w:rPr>
          <w:szCs w:val="24"/>
        </w:rPr>
        <w:t xml:space="preserve">Data from the state of New Jersey </w:t>
      </w:r>
      <w:r w:rsidR="00C420A0">
        <w:rPr>
          <w:szCs w:val="24"/>
        </w:rPr>
        <w:t>project</w:t>
      </w:r>
      <w:r w:rsidRPr="00A06AE8">
        <w:rPr>
          <w:szCs w:val="24"/>
        </w:rPr>
        <w:t xml:space="preserve"> that an additional 183,313 adults over the age of 65 will be added to the four counties of Atlantic, Burlington, Monmouth and Ocean between 2010 and 2030. Approximately 50,296 of these persons will be in Ocean County</w:t>
      </w:r>
      <w:r w:rsidRPr="00C50DC4">
        <w:t>.</w:t>
      </w:r>
      <w:r w:rsidR="00A06AE8">
        <w:t xml:space="preserve"> </w:t>
      </w:r>
      <w:r w:rsidR="0070243B">
        <w:t>(</w:t>
      </w:r>
      <w:r w:rsidR="0070243B" w:rsidRPr="0070243B">
        <w:rPr>
          <w:b/>
        </w:rPr>
        <w:t>Figure</w:t>
      </w:r>
      <w:r w:rsidR="001355F4">
        <w:rPr>
          <w:b/>
        </w:rPr>
        <w:t xml:space="preserve">s </w:t>
      </w:r>
      <w:r w:rsidR="0070243B" w:rsidRPr="0070243B">
        <w:rPr>
          <w:b/>
        </w:rPr>
        <w:t>2</w:t>
      </w:r>
      <w:r w:rsidR="001355F4">
        <w:rPr>
          <w:b/>
        </w:rPr>
        <w:t xml:space="preserve"> and 3</w:t>
      </w:r>
      <w:r w:rsidR="0070243B">
        <w:t>)</w:t>
      </w:r>
    </w:p>
    <w:p w:rsidR="00113602" w:rsidRPr="00C50DC4" w:rsidRDefault="00113602" w:rsidP="009B67F8">
      <w:pPr>
        <w:pStyle w:val="NoSpacing"/>
        <w:jc w:val="both"/>
      </w:pPr>
    </w:p>
    <w:p w:rsidR="00113602" w:rsidRPr="00C50DC4" w:rsidRDefault="00113602" w:rsidP="009B0FC0">
      <w:pPr>
        <w:pStyle w:val="NoSpacing"/>
        <w:numPr>
          <w:ilvl w:val="0"/>
          <w:numId w:val="1"/>
        </w:numPr>
        <w:jc w:val="both"/>
      </w:pPr>
      <w:r w:rsidRPr="00C50DC4">
        <w:t xml:space="preserve">Two distinct groups of patients use nursing homes. The </w:t>
      </w:r>
      <w:r w:rsidRPr="001355F4">
        <w:rPr>
          <w:b/>
        </w:rPr>
        <w:t>first</w:t>
      </w:r>
      <w:r w:rsidRPr="00C50DC4">
        <w:t xml:space="preserve"> group </w:t>
      </w:r>
      <w:r w:rsidR="005F3132">
        <w:t>consists of</w:t>
      </w:r>
      <w:r w:rsidRPr="00C50DC4">
        <w:t xml:space="preserve"> persons discharged from hospitals who need skilled nursing and rehabilitative care for short period</w:t>
      </w:r>
      <w:r w:rsidR="00BC2EA5">
        <w:t>s</w:t>
      </w:r>
      <w:r w:rsidRPr="00C50DC4">
        <w:t xml:space="preserve"> of time</w:t>
      </w:r>
      <w:r w:rsidR="00BC2EA5">
        <w:t>,</w:t>
      </w:r>
      <w:r w:rsidRPr="00C50DC4">
        <w:t xml:space="preserve"> typically 28 days or less. The care for these persons is primarily paid for by Medicare. The </w:t>
      </w:r>
      <w:r w:rsidRPr="001355F4">
        <w:rPr>
          <w:b/>
        </w:rPr>
        <w:t>second</w:t>
      </w:r>
      <w:r w:rsidRPr="00C50DC4">
        <w:t xml:space="preserve"> group consists of persons who need custodial care for long periods of time. The care for these persons is primarily paid for by Medicaid and the average length of stay in a New Jersey nursing home of these persons is about two and a half years</w:t>
      </w:r>
      <w:r w:rsidR="00C420A0">
        <w:t>.</w:t>
      </w:r>
    </w:p>
    <w:p w:rsidR="004E345F" w:rsidRPr="00C50DC4" w:rsidRDefault="004E345F" w:rsidP="009B67F8">
      <w:pPr>
        <w:pStyle w:val="NoSpacing"/>
        <w:jc w:val="both"/>
      </w:pPr>
    </w:p>
    <w:p w:rsidR="00113602" w:rsidRPr="00C50DC4" w:rsidRDefault="00C420A0" w:rsidP="009B0FC0">
      <w:pPr>
        <w:pStyle w:val="NoSpacing"/>
        <w:numPr>
          <w:ilvl w:val="0"/>
          <w:numId w:val="1"/>
        </w:numPr>
        <w:jc w:val="both"/>
      </w:pPr>
      <w:r>
        <w:t>P</w:t>
      </w:r>
      <w:r w:rsidR="00D32E41" w:rsidRPr="00C50DC4">
        <w:t xml:space="preserve">atients </w:t>
      </w:r>
      <w:r w:rsidR="00113602" w:rsidRPr="00C50DC4">
        <w:t xml:space="preserve">needing post-hospital skilled nursing care are typically treated in a separate unit of the nursing home whose nurses are more </w:t>
      </w:r>
      <w:r w:rsidR="00BC2EA5">
        <w:t>specialized</w:t>
      </w:r>
      <w:r w:rsidR="00113602" w:rsidRPr="00C50DC4">
        <w:t xml:space="preserve"> </w:t>
      </w:r>
      <w:r w:rsidR="00D32E41" w:rsidRPr="00C50DC4">
        <w:t xml:space="preserve">because the patients have </w:t>
      </w:r>
      <w:r w:rsidR="001355F4">
        <w:t xml:space="preserve">more complicated </w:t>
      </w:r>
      <w:r w:rsidR="00D32E41" w:rsidRPr="00C50DC4">
        <w:t>medical conditions</w:t>
      </w:r>
      <w:r w:rsidR="001355F4">
        <w:t>. These units may have higher staffing levels.</w:t>
      </w:r>
      <w:r w:rsidR="00D32E41" w:rsidRPr="00C50DC4">
        <w:t xml:space="preserve"> </w:t>
      </w:r>
      <w:r w:rsidR="001355F4">
        <w:t>P</w:t>
      </w:r>
      <w:r w:rsidR="00D32E41" w:rsidRPr="00C50DC4">
        <w:t xml:space="preserve">atients </w:t>
      </w:r>
      <w:r w:rsidR="001355F4">
        <w:t xml:space="preserve">receiving this level of care routinely </w:t>
      </w:r>
      <w:r w:rsidR="00D32E41" w:rsidRPr="00C50DC4">
        <w:t xml:space="preserve">receive more rehabilitative services.  </w:t>
      </w:r>
    </w:p>
    <w:p w:rsidR="00113602" w:rsidRPr="00C50DC4" w:rsidRDefault="00113602" w:rsidP="009B67F8">
      <w:pPr>
        <w:pStyle w:val="NoSpacing"/>
        <w:jc w:val="both"/>
      </w:pPr>
    </w:p>
    <w:p w:rsidR="00C50DC4" w:rsidRPr="009B0FC0" w:rsidRDefault="00C50DC4" w:rsidP="009B0FC0">
      <w:pPr>
        <w:pStyle w:val="ListParagraph"/>
        <w:numPr>
          <w:ilvl w:val="0"/>
          <w:numId w:val="1"/>
        </w:numPr>
        <w:jc w:val="both"/>
        <w:rPr>
          <w:szCs w:val="24"/>
        </w:rPr>
      </w:pPr>
      <w:r w:rsidRPr="009B0FC0">
        <w:rPr>
          <w:szCs w:val="24"/>
        </w:rPr>
        <w:t>The proposed program at Tom</w:t>
      </w:r>
      <w:r w:rsidR="000E59C4">
        <w:rPr>
          <w:szCs w:val="24"/>
        </w:rPr>
        <w:t>s</w:t>
      </w:r>
      <w:r w:rsidRPr="009B0FC0">
        <w:rPr>
          <w:szCs w:val="24"/>
        </w:rPr>
        <w:t xml:space="preserve"> River is designed to provide the skilled </w:t>
      </w:r>
      <w:r w:rsidR="00C420A0">
        <w:rPr>
          <w:szCs w:val="24"/>
        </w:rPr>
        <w:t xml:space="preserve">medical </w:t>
      </w:r>
      <w:r w:rsidRPr="009B0FC0">
        <w:rPr>
          <w:szCs w:val="24"/>
        </w:rPr>
        <w:t xml:space="preserve">rehabilitative services that persons </w:t>
      </w:r>
      <w:r w:rsidR="001355F4">
        <w:rPr>
          <w:szCs w:val="24"/>
        </w:rPr>
        <w:t xml:space="preserve">discharged from </w:t>
      </w:r>
      <w:r w:rsidRPr="009B0FC0">
        <w:rPr>
          <w:szCs w:val="24"/>
        </w:rPr>
        <w:t xml:space="preserve">the hospital </w:t>
      </w:r>
      <w:r w:rsidR="001355F4">
        <w:rPr>
          <w:szCs w:val="24"/>
        </w:rPr>
        <w:t>require</w:t>
      </w:r>
      <w:r w:rsidRPr="009B0FC0">
        <w:rPr>
          <w:szCs w:val="24"/>
        </w:rPr>
        <w:t>.</w:t>
      </w:r>
    </w:p>
    <w:p w:rsidR="00C50DC4" w:rsidRPr="00C50DC4" w:rsidRDefault="00C50DC4" w:rsidP="009B0FC0">
      <w:pPr>
        <w:pStyle w:val="NoSpacing"/>
        <w:numPr>
          <w:ilvl w:val="0"/>
          <w:numId w:val="1"/>
        </w:numPr>
        <w:jc w:val="both"/>
      </w:pPr>
      <w:r w:rsidRPr="00C50DC4">
        <w:t xml:space="preserve">An examination of Medicare hospital discharge data by zip code shows that out of 39,000 zip codes, two of the top five zip codes with the highest rate of Medicare hospital </w:t>
      </w:r>
      <w:r w:rsidRPr="00C50DC4">
        <w:lastRenderedPageBreak/>
        <w:t xml:space="preserve">discharges are in the Toms River area. Other zip codes in Ocean County also have unusually high rates of Medicare hospital utilization. </w:t>
      </w:r>
      <w:r w:rsidR="001355F4">
        <w:t>(</w:t>
      </w:r>
      <w:r w:rsidR="001355F4" w:rsidRPr="001355F4">
        <w:rPr>
          <w:b/>
        </w:rPr>
        <w:t>Figure</w:t>
      </w:r>
      <w:r w:rsidR="001355F4">
        <w:rPr>
          <w:b/>
        </w:rPr>
        <w:t>s</w:t>
      </w:r>
      <w:r w:rsidR="001355F4" w:rsidRPr="001355F4">
        <w:rPr>
          <w:b/>
        </w:rPr>
        <w:t xml:space="preserve"> 4</w:t>
      </w:r>
      <w:r w:rsidR="001355F4">
        <w:rPr>
          <w:b/>
        </w:rPr>
        <w:t xml:space="preserve"> and 5</w:t>
      </w:r>
      <w:r w:rsidR="001355F4">
        <w:t>)</w:t>
      </w:r>
      <w:r w:rsidRPr="00C50DC4">
        <w:t xml:space="preserve"> </w:t>
      </w:r>
    </w:p>
    <w:p w:rsidR="00C50DC4" w:rsidRPr="00C50DC4" w:rsidRDefault="00C50DC4" w:rsidP="009B67F8">
      <w:pPr>
        <w:pStyle w:val="NoSpacing"/>
        <w:jc w:val="both"/>
      </w:pPr>
    </w:p>
    <w:p w:rsidR="00C50DC4" w:rsidRPr="00C50DC4" w:rsidRDefault="00113602" w:rsidP="009B0FC0">
      <w:pPr>
        <w:pStyle w:val="NoSpacing"/>
        <w:numPr>
          <w:ilvl w:val="0"/>
          <w:numId w:val="1"/>
        </w:numPr>
        <w:jc w:val="both"/>
      </w:pPr>
      <w:r w:rsidRPr="00C50DC4">
        <w:t xml:space="preserve">The number of persons that have been using short term </w:t>
      </w:r>
      <w:r w:rsidR="00D32E41" w:rsidRPr="00C50DC4">
        <w:t xml:space="preserve">skilled services has been increasing and the number of persons that are receiving long-term custodial care is decreasing. </w:t>
      </w:r>
      <w:r w:rsidR="001355F4">
        <w:t>(</w:t>
      </w:r>
      <w:r w:rsidR="001355F4" w:rsidRPr="001355F4">
        <w:rPr>
          <w:b/>
        </w:rPr>
        <w:t xml:space="preserve">Figures </w:t>
      </w:r>
      <w:r w:rsidR="001355F4">
        <w:rPr>
          <w:b/>
        </w:rPr>
        <w:t>6</w:t>
      </w:r>
      <w:r w:rsidR="001355F4" w:rsidRPr="001355F4">
        <w:rPr>
          <w:b/>
        </w:rPr>
        <w:t xml:space="preserve"> and </w:t>
      </w:r>
      <w:r w:rsidR="001355F4">
        <w:rPr>
          <w:b/>
        </w:rPr>
        <w:t>7</w:t>
      </w:r>
      <w:r w:rsidR="001355F4">
        <w:t>)</w:t>
      </w:r>
    </w:p>
    <w:p w:rsidR="00C50DC4" w:rsidRPr="00C50DC4" w:rsidRDefault="00C50DC4" w:rsidP="009B67F8">
      <w:pPr>
        <w:pStyle w:val="NoSpacing"/>
        <w:jc w:val="both"/>
      </w:pPr>
    </w:p>
    <w:p w:rsidR="004E345F" w:rsidRPr="00C50DC4" w:rsidRDefault="00C50DC4" w:rsidP="009B0FC0">
      <w:pPr>
        <w:pStyle w:val="NoSpacing"/>
        <w:numPr>
          <w:ilvl w:val="0"/>
          <w:numId w:val="1"/>
        </w:numPr>
        <w:jc w:val="both"/>
      </w:pPr>
      <w:r w:rsidRPr="00C50DC4">
        <w:t xml:space="preserve">Based on utilization rates of persons using short-term skilled and long term custodial care, it is reasonable to infer that occupancy problems, to the extent that they exist in some homes, are due to declines in the number of persons using </w:t>
      </w:r>
      <w:r w:rsidR="00D64125">
        <w:t xml:space="preserve">their </w:t>
      </w:r>
      <w:r w:rsidRPr="00C50DC4">
        <w:t>long-term custodial care</w:t>
      </w:r>
      <w:r w:rsidR="00D64125">
        <w:t xml:space="preserve"> beds</w:t>
      </w:r>
      <w:r w:rsidRPr="00C50DC4">
        <w:t>.</w:t>
      </w:r>
      <w:r w:rsidR="001355F4">
        <w:t xml:space="preserve"> (</w:t>
      </w:r>
      <w:r w:rsidR="001355F4" w:rsidRPr="001355F4">
        <w:rPr>
          <w:b/>
        </w:rPr>
        <w:t>Figure 8</w:t>
      </w:r>
      <w:r w:rsidR="001355F4">
        <w:t>)</w:t>
      </w:r>
    </w:p>
    <w:p w:rsidR="00C50DC4" w:rsidRPr="00C50DC4" w:rsidRDefault="00C50DC4" w:rsidP="009B67F8">
      <w:pPr>
        <w:pStyle w:val="NoSpacing"/>
        <w:jc w:val="both"/>
      </w:pPr>
    </w:p>
    <w:p w:rsidR="00C50DC4" w:rsidRPr="00B36B1E" w:rsidRDefault="006E0DBE" w:rsidP="009B0FC0">
      <w:pPr>
        <w:pStyle w:val="NoSpacing"/>
        <w:numPr>
          <w:ilvl w:val="0"/>
          <w:numId w:val="1"/>
        </w:numPr>
        <w:jc w:val="both"/>
      </w:pPr>
      <w:r>
        <w:t xml:space="preserve">Nursing home utilization in the United States has been declining since 1997. </w:t>
      </w:r>
      <w:r w:rsidR="00C50DC4" w:rsidRPr="00B36B1E">
        <w:t>An examination of 2014 nursing home occupancy rates in the four</w:t>
      </w:r>
      <w:r w:rsidR="00F412EC">
        <w:t>-</w:t>
      </w:r>
      <w:r w:rsidR="00C50DC4" w:rsidRPr="00B36B1E">
        <w:t xml:space="preserve">county area shows that </w:t>
      </w:r>
      <w:r w:rsidR="00B36B1E" w:rsidRPr="00B36B1E">
        <w:t>75</w:t>
      </w:r>
      <w:r w:rsidR="00C50DC4" w:rsidRPr="00B36B1E">
        <w:t xml:space="preserve">% of the homes have occupancy rates higher than </w:t>
      </w:r>
      <w:r w:rsidR="00B36B1E" w:rsidRPr="00B36B1E">
        <w:t>8</w:t>
      </w:r>
      <w:r w:rsidR="00C50DC4" w:rsidRPr="00B36B1E">
        <w:t xml:space="preserve">0% and another </w:t>
      </w:r>
      <w:r w:rsidR="00B36B1E" w:rsidRPr="00B36B1E">
        <w:t>1</w:t>
      </w:r>
      <w:r w:rsidR="00C50DC4" w:rsidRPr="00B36B1E">
        <w:t xml:space="preserve">4% have rates between </w:t>
      </w:r>
      <w:r w:rsidR="00B36B1E" w:rsidRPr="00B36B1E">
        <w:t>7</w:t>
      </w:r>
      <w:r w:rsidR="00C50DC4" w:rsidRPr="00B36B1E">
        <w:t>0</w:t>
      </w:r>
      <w:r w:rsidR="002C368A" w:rsidRPr="00B36B1E">
        <w:t>%</w:t>
      </w:r>
      <w:r w:rsidR="00C50DC4" w:rsidRPr="00B36B1E">
        <w:t xml:space="preserve"> and </w:t>
      </w:r>
      <w:r w:rsidR="00B36B1E" w:rsidRPr="00B36B1E">
        <w:t>7</w:t>
      </w:r>
      <w:r w:rsidR="00C50DC4" w:rsidRPr="00B36B1E">
        <w:t>9</w:t>
      </w:r>
      <w:r w:rsidR="002C368A" w:rsidRPr="00B36B1E">
        <w:t>%</w:t>
      </w:r>
      <w:r w:rsidR="00C50DC4" w:rsidRPr="00B36B1E">
        <w:t xml:space="preserve">. </w:t>
      </w:r>
      <w:r w:rsidR="001355F4" w:rsidRPr="00B36B1E">
        <w:t>(</w:t>
      </w:r>
      <w:r w:rsidR="001355F4" w:rsidRPr="00B36B1E">
        <w:rPr>
          <w:b/>
        </w:rPr>
        <w:t>Figure 9</w:t>
      </w:r>
      <w:r w:rsidR="001355F4" w:rsidRPr="00B36B1E">
        <w:t>)</w:t>
      </w:r>
      <w:r w:rsidR="002C368A" w:rsidRPr="00B36B1E">
        <w:t xml:space="preserve"> </w:t>
      </w:r>
    </w:p>
    <w:p w:rsidR="00113602" w:rsidRPr="009B0FC0" w:rsidRDefault="00113602" w:rsidP="009B67F8">
      <w:pPr>
        <w:pStyle w:val="NoSpacing"/>
        <w:jc w:val="both"/>
      </w:pPr>
    </w:p>
    <w:p w:rsidR="002C368A" w:rsidRPr="009B0FC0" w:rsidRDefault="002C368A" w:rsidP="009B0FC0">
      <w:pPr>
        <w:pStyle w:val="NoSpacing"/>
        <w:numPr>
          <w:ilvl w:val="0"/>
          <w:numId w:val="1"/>
        </w:numPr>
        <w:jc w:val="both"/>
      </w:pPr>
      <w:r w:rsidRPr="009B0FC0">
        <w:t xml:space="preserve">State Department of Health records indicate that 423 beds have been added in the four-county area since January of 2012. It is reasonable to </w:t>
      </w:r>
      <w:r w:rsidR="00C67B55">
        <w:t>conclude</w:t>
      </w:r>
      <w:r w:rsidRPr="009B0FC0">
        <w:t xml:space="preserve"> that significant numbers of nursing home owners thought there was a demand for new beds. If owners had concerns about excess bed supply they would not be opening new beds.</w:t>
      </w:r>
      <w:r w:rsidR="001355F4">
        <w:t>(</w:t>
      </w:r>
      <w:r w:rsidR="001355F4" w:rsidRPr="001355F4">
        <w:rPr>
          <w:b/>
        </w:rPr>
        <w:t>Figure 10</w:t>
      </w:r>
      <w:r w:rsidR="001355F4">
        <w:t>)</w:t>
      </w:r>
      <w:r w:rsidRPr="009B0FC0">
        <w:t xml:space="preserve"> </w:t>
      </w:r>
    </w:p>
    <w:p w:rsidR="002C368A" w:rsidRPr="009B0FC0" w:rsidRDefault="002C368A" w:rsidP="009B67F8">
      <w:pPr>
        <w:pStyle w:val="NoSpacing"/>
        <w:jc w:val="both"/>
      </w:pPr>
    </w:p>
    <w:p w:rsidR="00113602" w:rsidRPr="009B0FC0" w:rsidRDefault="002C368A" w:rsidP="009B0FC0">
      <w:pPr>
        <w:pStyle w:val="NoSpacing"/>
        <w:numPr>
          <w:ilvl w:val="0"/>
          <w:numId w:val="1"/>
        </w:numPr>
        <w:jc w:val="both"/>
      </w:pPr>
      <w:r w:rsidRPr="009B0FC0">
        <w:t>An analysis of projected Medicare utilization of skilled nursing facilities indicates that by 2030, only 15 years from now, there w</w:t>
      </w:r>
      <w:r w:rsidR="00D64125">
        <w:t>ill</w:t>
      </w:r>
      <w:r w:rsidRPr="009B0FC0">
        <w:t xml:space="preserve"> be approximately 14,385 more </w:t>
      </w:r>
      <w:r w:rsidR="00D64125">
        <w:t xml:space="preserve">annual </w:t>
      </w:r>
      <w:r w:rsidRPr="009B0FC0">
        <w:t>Medicare admissions to nursing homes in the four</w:t>
      </w:r>
      <w:r w:rsidR="00C67B55">
        <w:t>-</w:t>
      </w:r>
      <w:r w:rsidRPr="009B0FC0">
        <w:t xml:space="preserve">county area and </w:t>
      </w:r>
      <w:r w:rsidR="00D64125">
        <w:t xml:space="preserve">an estimated </w:t>
      </w:r>
      <w:r w:rsidRPr="009B0FC0">
        <w:t xml:space="preserve">3,947 </w:t>
      </w:r>
      <w:r w:rsidR="00D64125">
        <w:t xml:space="preserve">of those </w:t>
      </w:r>
      <w:r w:rsidRPr="009B0FC0">
        <w:t xml:space="preserve">admissions </w:t>
      </w:r>
      <w:r w:rsidR="00D64125">
        <w:t xml:space="preserve">will be </w:t>
      </w:r>
      <w:r w:rsidRPr="009B0FC0">
        <w:t xml:space="preserve">in Ocean County. </w:t>
      </w:r>
      <w:r w:rsidR="001355F4">
        <w:t>(</w:t>
      </w:r>
      <w:r w:rsidR="001355F4" w:rsidRPr="001355F4">
        <w:rPr>
          <w:b/>
        </w:rPr>
        <w:t>Figure 11</w:t>
      </w:r>
      <w:r w:rsidR="001355F4">
        <w:t>)</w:t>
      </w:r>
      <w:r w:rsidRPr="009B0FC0">
        <w:t xml:space="preserve">  </w:t>
      </w:r>
    </w:p>
    <w:p w:rsidR="002C368A" w:rsidRPr="009B0FC0" w:rsidRDefault="002C368A" w:rsidP="009B67F8">
      <w:pPr>
        <w:pStyle w:val="NoSpacing"/>
        <w:jc w:val="both"/>
      </w:pPr>
    </w:p>
    <w:p w:rsidR="00D37062" w:rsidRDefault="00D37062" w:rsidP="009B0FC0">
      <w:pPr>
        <w:pStyle w:val="NoSpacing"/>
        <w:numPr>
          <w:ilvl w:val="0"/>
          <w:numId w:val="1"/>
        </w:numPr>
        <w:jc w:val="both"/>
      </w:pPr>
      <w:r>
        <w:t>Contemporary medical architecture emphasizes the use of single-occupancy rooms like those proposed in Toms River because they prevent medical infection, promote family caregiving by including the family in caring for the patient, and are more efficient to operate.</w:t>
      </w:r>
      <w:r w:rsidR="001355F4">
        <w:t xml:space="preserve"> (</w:t>
      </w:r>
      <w:r w:rsidR="001355F4" w:rsidRPr="001355F4">
        <w:rPr>
          <w:b/>
        </w:rPr>
        <w:t>Figure 12</w:t>
      </w:r>
      <w:r w:rsidR="001355F4">
        <w:t>)</w:t>
      </w:r>
    </w:p>
    <w:p w:rsidR="00D37062" w:rsidRDefault="00D37062" w:rsidP="00D37062">
      <w:pPr>
        <w:pStyle w:val="NoSpacing"/>
      </w:pPr>
    </w:p>
    <w:p w:rsidR="009B0FC0" w:rsidRPr="009B0FC0" w:rsidRDefault="009B0FC0" w:rsidP="009B0FC0">
      <w:pPr>
        <w:pStyle w:val="NoSpacing"/>
        <w:numPr>
          <w:ilvl w:val="0"/>
          <w:numId w:val="1"/>
        </w:numPr>
        <w:jc w:val="both"/>
      </w:pPr>
      <w:r w:rsidRPr="009B0FC0">
        <w:t xml:space="preserve">There is a demonstrable need for the </w:t>
      </w:r>
      <w:r w:rsidR="00C67B55" w:rsidRPr="009B0FC0">
        <w:t xml:space="preserve">proposed </w:t>
      </w:r>
      <w:r w:rsidRPr="009B0FC0">
        <w:t>program in Tom</w:t>
      </w:r>
      <w:r w:rsidR="000E59C4">
        <w:t>s</w:t>
      </w:r>
      <w:r w:rsidRPr="009B0FC0">
        <w:t xml:space="preserve"> River </w:t>
      </w:r>
      <w:r w:rsidR="00C67B55">
        <w:t>and it</w:t>
      </w:r>
      <w:r w:rsidRPr="009B0FC0">
        <w:t xml:space="preserve"> will satisfy the need for skilled services in the Ocean County area given </w:t>
      </w:r>
      <w:r w:rsidR="00C67B55">
        <w:t>the County’s</w:t>
      </w:r>
      <w:r w:rsidRPr="009B0FC0">
        <w:t xml:space="preserve"> unusually high rate of Medicare hospital utilization and projected population growth. </w:t>
      </w:r>
    </w:p>
    <w:p w:rsidR="002C368A" w:rsidRPr="009B0FC0" w:rsidRDefault="002C368A" w:rsidP="009B67F8">
      <w:pPr>
        <w:pStyle w:val="NoSpacing"/>
        <w:jc w:val="both"/>
      </w:pPr>
    </w:p>
    <w:p w:rsidR="002C368A" w:rsidRDefault="002C368A" w:rsidP="009B67F8">
      <w:pPr>
        <w:pStyle w:val="NoSpacing"/>
        <w:jc w:val="both"/>
        <w:rPr>
          <w:b/>
        </w:rPr>
      </w:pPr>
    </w:p>
    <w:p w:rsidR="004E345F" w:rsidRDefault="004E345F" w:rsidP="009B67F8">
      <w:pPr>
        <w:pStyle w:val="NoSpacing"/>
        <w:jc w:val="both"/>
        <w:rPr>
          <w:b/>
        </w:rPr>
      </w:pPr>
      <w:r>
        <w:rPr>
          <w:b/>
        </w:rPr>
        <w:t>Discussion of Figures</w:t>
      </w:r>
    </w:p>
    <w:p w:rsidR="004E345F" w:rsidRDefault="004E345F" w:rsidP="009B67F8">
      <w:pPr>
        <w:pStyle w:val="NoSpacing"/>
        <w:jc w:val="both"/>
        <w:rPr>
          <w:b/>
        </w:rPr>
      </w:pPr>
    </w:p>
    <w:p w:rsidR="00880506" w:rsidRPr="00A57DC4" w:rsidRDefault="00880506" w:rsidP="009B67F8">
      <w:pPr>
        <w:pStyle w:val="NoSpacing"/>
        <w:jc w:val="both"/>
        <w:rPr>
          <w:b/>
        </w:rPr>
      </w:pPr>
      <w:r>
        <w:rPr>
          <w:b/>
        </w:rPr>
        <w:t xml:space="preserve">Figure 1 </w:t>
      </w:r>
      <w:r w:rsidRPr="00880506">
        <w:t xml:space="preserve">shows that the beds for </w:t>
      </w:r>
      <w:r>
        <w:t xml:space="preserve">this </w:t>
      </w:r>
      <w:r w:rsidRPr="00880506">
        <w:t xml:space="preserve">Toms River </w:t>
      </w:r>
      <w:r w:rsidR="007700EC">
        <w:t>facility</w:t>
      </w:r>
      <w:r>
        <w:t xml:space="preserve"> </w:t>
      </w:r>
      <w:r w:rsidRPr="00880506">
        <w:t xml:space="preserve">were transferred from other locations within Ocean County and </w:t>
      </w:r>
      <w:r>
        <w:t xml:space="preserve">are </w:t>
      </w:r>
      <w:r w:rsidRPr="00880506">
        <w:t>simply a</w:t>
      </w:r>
      <w:r>
        <w:t>n inter-county</w:t>
      </w:r>
      <w:r w:rsidRPr="00880506">
        <w:t xml:space="preserve"> </w:t>
      </w:r>
      <w:r>
        <w:t xml:space="preserve">change in the location </w:t>
      </w:r>
      <w:r w:rsidRPr="00880506">
        <w:t xml:space="preserve">of existing beds. </w:t>
      </w:r>
      <w:r>
        <w:t xml:space="preserve">Moreover, </w:t>
      </w:r>
      <w:r w:rsidR="009B67F8">
        <w:t xml:space="preserve">the transfers </w:t>
      </w:r>
      <w:r>
        <w:t xml:space="preserve">resulted in 114 beds being moved from Ocean County to Atlantic County and 53 beds being moved from Ocean County to Monmouth County. </w:t>
      </w:r>
      <w:r w:rsidR="009B67F8">
        <w:t xml:space="preserve">Thus </w:t>
      </w:r>
      <w:r w:rsidR="009B67F8" w:rsidRPr="00A57DC4">
        <w:rPr>
          <w:b/>
        </w:rPr>
        <w:t xml:space="preserve">not only are no new </w:t>
      </w:r>
      <w:r w:rsidR="009B67F8" w:rsidRPr="00A57DC4">
        <w:rPr>
          <w:b/>
        </w:rPr>
        <w:lastRenderedPageBreak/>
        <w:t>beds being built</w:t>
      </w:r>
      <w:r w:rsidR="00C67B55">
        <w:rPr>
          <w:b/>
        </w:rPr>
        <w:t>,</w:t>
      </w:r>
      <w:r w:rsidR="009B67F8" w:rsidRPr="00A57DC4">
        <w:rPr>
          <w:b/>
        </w:rPr>
        <w:t xml:space="preserve"> but the equivalent of a large nursing home has been moved out of Ocean County.</w:t>
      </w:r>
      <w:r w:rsidR="004E345F" w:rsidRPr="00A57DC4">
        <w:rPr>
          <w:b/>
        </w:rPr>
        <w:t xml:space="preserve"> The net impact of the </w:t>
      </w:r>
      <w:r w:rsidR="00C67B55">
        <w:rPr>
          <w:b/>
        </w:rPr>
        <w:t xml:space="preserve">bed transfers </w:t>
      </w:r>
      <w:r w:rsidR="004E345F" w:rsidRPr="00A57DC4">
        <w:rPr>
          <w:b/>
        </w:rPr>
        <w:t>is to increase occupancy rates in Ocean County.</w:t>
      </w:r>
    </w:p>
    <w:p w:rsidR="00880506" w:rsidRPr="00880506" w:rsidRDefault="00880506" w:rsidP="00424848">
      <w:pPr>
        <w:pStyle w:val="NoSpacing"/>
      </w:pPr>
    </w:p>
    <w:p w:rsidR="00FD659A" w:rsidRDefault="001A3A82" w:rsidP="00424848">
      <w:pPr>
        <w:pStyle w:val="NoSpacing"/>
        <w:rPr>
          <w:b/>
          <w:sz w:val="28"/>
          <w:szCs w:val="28"/>
        </w:rPr>
      </w:pPr>
      <w:r w:rsidRPr="009B67F8">
        <w:rPr>
          <w:b/>
          <w:sz w:val="28"/>
          <w:szCs w:val="28"/>
        </w:rPr>
        <w:t>Figure 1:</w:t>
      </w:r>
      <w:r w:rsidR="00424848" w:rsidRPr="009B67F8">
        <w:rPr>
          <w:b/>
          <w:sz w:val="28"/>
          <w:szCs w:val="28"/>
        </w:rPr>
        <w:t xml:space="preserve"> </w:t>
      </w:r>
      <w:r w:rsidR="002942C3">
        <w:rPr>
          <w:b/>
          <w:sz w:val="28"/>
          <w:szCs w:val="28"/>
        </w:rPr>
        <w:t>Beds Transferred to the Proposed Facility and Other Counties</w:t>
      </w:r>
      <w:r w:rsidR="00424848" w:rsidRPr="009B67F8">
        <w:rPr>
          <w:b/>
          <w:sz w:val="28"/>
          <w:szCs w:val="28"/>
        </w:rPr>
        <w:t xml:space="preserve">  </w:t>
      </w:r>
    </w:p>
    <w:tbl>
      <w:tblPr>
        <w:tblW w:w="0" w:type="auto"/>
        <w:tblInd w:w="103" w:type="dxa"/>
        <w:tblLook w:val="04A0" w:firstRow="1" w:lastRow="0" w:firstColumn="1" w:lastColumn="0" w:noHBand="0" w:noVBand="1"/>
      </w:tblPr>
      <w:tblGrid>
        <w:gridCol w:w="3971"/>
        <w:gridCol w:w="1718"/>
        <w:gridCol w:w="272"/>
        <w:gridCol w:w="1157"/>
        <w:gridCol w:w="1477"/>
        <w:gridCol w:w="878"/>
      </w:tblGrid>
      <w:tr w:rsidR="002942C3" w:rsidRPr="002942C3" w:rsidTr="007700EC">
        <w:trPr>
          <w:trHeight w:val="630"/>
        </w:trPr>
        <w:tc>
          <w:tcPr>
            <w:tcW w:w="0" w:type="auto"/>
            <w:gridSpan w:val="2"/>
            <w:tcBorders>
              <w:top w:val="nil"/>
              <w:left w:val="single" w:sz="4" w:space="0" w:color="auto"/>
              <w:bottom w:val="single" w:sz="4" w:space="0" w:color="auto"/>
              <w:right w:val="nil"/>
            </w:tcBorders>
            <w:shd w:val="clear" w:color="000000" w:fill="002060"/>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Where beds came from</w:t>
            </w:r>
          </w:p>
        </w:tc>
        <w:tc>
          <w:tcPr>
            <w:tcW w:w="0" w:type="auto"/>
            <w:tcBorders>
              <w:top w:val="nil"/>
              <w:left w:val="nil"/>
              <w:bottom w:val="nil"/>
              <w:right w:val="nil"/>
            </w:tcBorders>
            <w:shd w:val="clear" w:color="000000" w:fill="002060"/>
            <w:noWrap/>
            <w:vAlign w:val="bottom"/>
            <w:hideMark/>
          </w:tcPr>
          <w:p w:rsidR="002942C3" w:rsidRPr="002942C3" w:rsidRDefault="002942C3" w:rsidP="002942C3">
            <w:pPr>
              <w:spacing w:after="0" w:line="240" w:lineRule="auto"/>
              <w:rPr>
                <w:rFonts w:ascii="Arial" w:eastAsia="Times New Roman" w:hAnsi="Arial" w:cs="Arial"/>
                <w:sz w:val="20"/>
                <w:szCs w:val="20"/>
              </w:rPr>
            </w:pPr>
            <w:r w:rsidRPr="002942C3">
              <w:rPr>
                <w:rFonts w:ascii="Arial" w:eastAsia="Times New Roman" w:hAnsi="Arial" w:cs="Arial"/>
                <w:sz w:val="20"/>
                <w:szCs w:val="20"/>
              </w:rPr>
              <w:t> </w:t>
            </w:r>
          </w:p>
        </w:tc>
        <w:tc>
          <w:tcPr>
            <w:tcW w:w="0" w:type="auto"/>
            <w:gridSpan w:val="3"/>
            <w:tcBorders>
              <w:top w:val="nil"/>
              <w:left w:val="nil"/>
              <w:bottom w:val="single" w:sz="4" w:space="0" w:color="auto"/>
              <w:right w:val="nil"/>
            </w:tcBorders>
            <w:shd w:val="clear" w:color="000000" w:fill="002060"/>
            <w:noWrap/>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 xml:space="preserve">Where the Beds Went </w:t>
            </w:r>
          </w:p>
        </w:tc>
      </w:tr>
      <w:tr w:rsidR="007700EC" w:rsidRPr="002942C3" w:rsidTr="007700EC">
        <w:trPr>
          <w:trHeight w:val="945"/>
        </w:trPr>
        <w:tc>
          <w:tcPr>
            <w:tcW w:w="0" w:type="auto"/>
            <w:tcBorders>
              <w:top w:val="nil"/>
              <w:left w:val="nil"/>
              <w:bottom w:val="nil"/>
              <w:right w:val="nil"/>
            </w:tcBorders>
            <w:shd w:val="clear" w:color="000000" w:fill="002060"/>
            <w:noWrap/>
            <w:vAlign w:val="center"/>
            <w:hideMark/>
          </w:tcPr>
          <w:p w:rsidR="002942C3" w:rsidRPr="002942C3" w:rsidRDefault="002942C3" w:rsidP="002942C3">
            <w:pPr>
              <w:spacing w:after="0" w:line="240" w:lineRule="auto"/>
              <w:rPr>
                <w:rFonts w:eastAsia="Times New Roman"/>
                <w:b/>
                <w:bCs/>
                <w:color w:val="FFFFFF"/>
                <w:szCs w:val="24"/>
              </w:rPr>
            </w:pPr>
            <w:r w:rsidRPr="002942C3">
              <w:rPr>
                <w:rFonts w:eastAsia="Times New Roman"/>
                <w:b/>
                <w:bCs/>
                <w:color w:val="FFFFFF"/>
                <w:szCs w:val="24"/>
              </w:rPr>
              <w:t xml:space="preserve">Beds Transferred From </w:t>
            </w:r>
          </w:p>
        </w:tc>
        <w:tc>
          <w:tcPr>
            <w:tcW w:w="0" w:type="auto"/>
            <w:tcBorders>
              <w:top w:val="nil"/>
              <w:left w:val="single" w:sz="4" w:space="0" w:color="auto"/>
              <w:bottom w:val="single" w:sz="4" w:space="0" w:color="auto"/>
              <w:right w:val="single" w:sz="4" w:space="0" w:color="auto"/>
            </w:tcBorders>
            <w:shd w:val="clear" w:color="000000" w:fill="002060"/>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 xml:space="preserve"> Number of Beds Transferred</w:t>
            </w:r>
          </w:p>
        </w:tc>
        <w:tc>
          <w:tcPr>
            <w:tcW w:w="0" w:type="auto"/>
            <w:tcBorders>
              <w:top w:val="nil"/>
              <w:left w:val="nil"/>
              <w:bottom w:val="nil"/>
              <w:right w:val="nil"/>
            </w:tcBorders>
            <w:shd w:val="clear" w:color="000000" w:fill="002060"/>
            <w:noWrap/>
            <w:vAlign w:val="bottom"/>
            <w:hideMark/>
          </w:tcPr>
          <w:p w:rsidR="002942C3" w:rsidRPr="002942C3" w:rsidRDefault="002942C3" w:rsidP="002942C3">
            <w:pPr>
              <w:spacing w:after="0" w:line="240" w:lineRule="auto"/>
              <w:rPr>
                <w:rFonts w:ascii="Arial" w:eastAsia="Times New Roman" w:hAnsi="Arial" w:cs="Arial"/>
                <w:sz w:val="20"/>
                <w:szCs w:val="20"/>
              </w:rPr>
            </w:pPr>
            <w:r w:rsidRPr="002942C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002060"/>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 xml:space="preserve">Atlantic County </w:t>
            </w:r>
          </w:p>
        </w:tc>
        <w:tc>
          <w:tcPr>
            <w:tcW w:w="0" w:type="auto"/>
            <w:tcBorders>
              <w:top w:val="nil"/>
              <w:left w:val="nil"/>
              <w:bottom w:val="single" w:sz="4" w:space="0" w:color="auto"/>
              <w:right w:val="single" w:sz="4" w:space="0" w:color="auto"/>
            </w:tcBorders>
            <w:shd w:val="clear" w:color="000000" w:fill="002060"/>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Monmouth County</w:t>
            </w:r>
          </w:p>
        </w:tc>
        <w:tc>
          <w:tcPr>
            <w:tcW w:w="0" w:type="auto"/>
            <w:tcBorders>
              <w:top w:val="nil"/>
              <w:left w:val="nil"/>
              <w:bottom w:val="single" w:sz="4" w:space="0" w:color="auto"/>
              <w:right w:val="single" w:sz="4" w:space="0" w:color="auto"/>
            </w:tcBorders>
            <w:shd w:val="clear" w:color="000000" w:fill="002060"/>
            <w:vAlign w:val="center"/>
            <w:hideMark/>
          </w:tcPr>
          <w:p w:rsidR="002942C3" w:rsidRPr="002942C3" w:rsidRDefault="002942C3" w:rsidP="002942C3">
            <w:pPr>
              <w:spacing w:after="0" w:line="240" w:lineRule="auto"/>
              <w:jc w:val="center"/>
              <w:rPr>
                <w:rFonts w:eastAsia="Times New Roman"/>
                <w:b/>
                <w:bCs/>
                <w:color w:val="FFFFFF"/>
                <w:szCs w:val="24"/>
              </w:rPr>
            </w:pPr>
            <w:r w:rsidRPr="002942C3">
              <w:rPr>
                <w:rFonts w:eastAsia="Times New Roman"/>
                <w:b/>
                <w:bCs/>
                <w:color w:val="FFFFFF"/>
                <w:szCs w:val="24"/>
              </w:rPr>
              <w:t xml:space="preserve">Toms River </w:t>
            </w:r>
          </w:p>
        </w:tc>
      </w:tr>
      <w:tr w:rsidR="002942C3" w:rsidRPr="002942C3" w:rsidTr="007700EC">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942C3" w:rsidRPr="002942C3" w:rsidRDefault="002942C3" w:rsidP="002942C3">
            <w:pPr>
              <w:spacing w:after="0" w:line="240" w:lineRule="auto"/>
              <w:rPr>
                <w:rFonts w:eastAsia="Times New Roman"/>
                <w:szCs w:val="24"/>
              </w:rPr>
            </w:pPr>
            <w:r w:rsidRPr="002942C3">
              <w:rPr>
                <w:rFonts w:eastAsia="Times New Roman"/>
                <w:szCs w:val="24"/>
              </w:rPr>
              <w:t xml:space="preserve">Country Manor /Kensington Manor both already in Ocean County </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224</w:t>
            </w:r>
          </w:p>
        </w:tc>
        <w:tc>
          <w:tcPr>
            <w:tcW w:w="0" w:type="auto"/>
            <w:tcBorders>
              <w:top w:val="nil"/>
              <w:left w:val="nil"/>
              <w:bottom w:val="nil"/>
              <w:right w:val="nil"/>
            </w:tcBorders>
            <w:shd w:val="clear" w:color="000000" w:fill="002060"/>
            <w:noWrap/>
            <w:vAlign w:val="bottom"/>
            <w:hideMark/>
          </w:tcPr>
          <w:p w:rsidR="002942C3" w:rsidRPr="002942C3" w:rsidRDefault="002942C3" w:rsidP="002942C3">
            <w:pPr>
              <w:spacing w:after="0" w:line="240" w:lineRule="auto"/>
              <w:rPr>
                <w:rFonts w:ascii="Arial" w:eastAsia="Times New Roman" w:hAnsi="Arial" w:cs="Arial"/>
                <w:sz w:val="20"/>
                <w:szCs w:val="20"/>
              </w:rPr>
            </w:pPr>
            <w:r w:rsidRPr="002942C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124</w:t>
            </w:r>
          </w:p>
        </w:tc>
      </w:tr>
      <w:tr w:rsidR="002942C3" w:rsidRPr="002942C3" w:rsidTr="007700E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42C3" w:rsidRPr="002942C3" w:rsidRDefault="002942C3" w:rsidP="00B82164">
            <w:pPr>
              <w:spacing w:after="0" w:line="240" w:lineRule="auto"/>
              <w:rPr>
                <w:rFonts w:eastAsia="Times New Roman"/>
                <w:szCs w:val="24"/>
              </w:rPr>
            </w:pPr>
            <w:r w:rsidRPr="002942C3">
              <w:rPr>
                <w:rFonts w:eastAsia="Times New Roman"/>
                <w:szCs w:val="24"/>
              </w:rPr>
              <w:t>Health</w:t>
            </w:r>
            <w:r w:rsidR="00B82164">
              <w:rPr>
                <w:rFonts w:eastAsia="Times New Roman"/>
                <w:szCs w:val="24"/>
              </w:rPr>
              <w:t>S</w:t>
            </w:r>
            <w:r w:rsidRPr="002942C3">
              <w:rPr>
                <w:rFonts w:eastAsia="Times New Roman"/>
                <w:szCs w:val="24"/>
              </w:rPr>
              <w:t xml:space="preserve">outh also in Ocean County </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67</w:t>
            </w:r>
          </w:p>
        </w:tc>
        <w:tc>
          <w:tcPr>
            <w:tcW w:w="0" w:type="auto"/>
            <w:tcBorders>
              <w:top w:val="nil"/>
              <w:left w:val="nil"/>
              <w:bottom w:val="nil"/>
              <w:right w:val="nil"/>
            </w:tcBorders>
            <w:shd w:val="clear" w:color="000000" w:fill="002060"/>
            <w:noWrap/>
            <w:vAlign w:val="bottom"/>
            <w:hideMark/>
          </w:tcPr>
          <w:p w:rsidR="002942C3" w:rsidRPr="002942C3" w:rsidRDefault="002942C3" w:rsidP="002942C3">
            <w:pPr>
              <w:spacing w:after="0" w:line="240" w:lineRule="auto"/>
              <w:rPr>
                <w:rFonts w:ascii="Arial" w:eastAsia="Times New Roman" w:hAnsi="Arial" w:cs="Arial"/>
                <w:sz w:val="20"/>
                <w:szCs w:val="20"/>
              </w:rPr>
            </w:pPr>
            <w:r w:rsidRPr="002942C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szCs w:val="24"/>
              </w:rPr>
            </w:pPr>
            <w:r w:rsidRPr="002942C3">
              <w:rPr>
                <w:rFonts w:eastAsia="Times New Roman"/>
                <w:szCs w:val="24"/>
              </w:rPr>
              <w:t> </w:t>
            </w:r>
          </w:p>
        </w:tc>
      </w:tr>
      <w:tr w:rsidR="002942C3" w:rsidRPr="002942C3" w:rsidTr="007700E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42C3" w:rsidRPr="002942C3" w:rsidRDefault="002942C3" w:rsidP="002942C3">
            <w:pPr>
              <w:spacing w:after="0" w:line="240" w:lineRule="auto"/>
              <w:rPr>
                <w:rFonts w:eastAsia="Times New Roman"/>
                <w:b/>
                <w:bCs/>
                <w:szCs w:val="24"/>
              </w:rPr>
            </w:pPr>
            <w:r w:rsidRPr="002942C3">
              <w:rPr>
                <w:rFonts w:eastAsia="Times New Roman"/>
                <w:b/>
                <w:bCs/>
                <w:szCs w:val="24"/>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b/>
                <w:bCs/>
                <w:szCs w:val="24"/>
              </w:rPr>
            </w:pPr>
            <w:r w:rsidRPr="002942C3">
              <w:rPr>
                <w:rFonts w:eastAsia="Times New Roman"/>
                <w:b/>
                <w:bCs/>
                <w:szCs w:val="24"/>
              </w:rPr>
              <w:t>291</w:t>
            </w:r>
          </w:p>
        </w:tc>
        <w:tc>
          <w:tcPr>
            <w:tcW w:w="0" w:type="auto"/>
            <w:tcBorders>
              <w:top w:val="nil"/>
              <w:left w:val="nil"/>
              <w:bottom w:val="nil"/>
              <w:right w:val="nil"/>
            </w:tcBorders>
            <w:shd w:val="clear" w:color="000000" w:fill="002060"/>
            <w:noWrap/>
            <w:vAlign w:val="bottom"/>
            <w:hideMark/>
          </w:tcPr>
          <w:p w:rsidR="002942C3" w:rsidRPr="002942C3" w:rsidRDefault="002942C3" w:rsidP="002942C3">
            <w:pPr>
              <w:spacing w:after="0" w:line="240" w:lineRule="auto"/>
              <w:rPr>
                <w:rFonts w:ascii="Arial" w:eastAsia="Times New Roman" w:hAnsi="Arial" w:cs="Arial"/>
                <w:sz w:val="20"/>
                <w:szCs w:val="20"/>
              </w:rPr>
            </w:pPr>
            <w:r w:rsidRPr="002942C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b/>
                <w:bCs/>
                <w:szCs w:val="24"/>
              </w:rPr>
            </w:pPr>
            <w:r w:rsidRPr="002942C3">
              <w:rPr>
                <w:rFonts w:eastAsia="Times New Roman"/>
                <w:b/>
                <w:bCs/>
                <w:szCs w:val="24"/>
              </w:rPr>
              <w:t>114</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b/>
                <w:bCs/>
                <w:szCs w:val="24"/>
              </w:rPr>
            </w:pPr>
            <w:r w:rsidRPr="002942C3">
              <w:rPr>
                <w:rFonts w:eastAsia="Times New Roman"/>
                <w:b/>
                <w:bCs/>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2942C3" w:rsidRPr="002942C3" w:rsidRDefault="002942C3" w:rsidP="002942C3">
            <w:pPr>
              <w:spacing w:after="0" w:line="240" w:lineRule="auto"/>
              <w:jc w:val="center"/>
              <w:rPr>
                <w:rFonts w:eastAsia="Times New Roman"/>
                <w:b/>
                <w:bCs/>
                <w:szCs w:val="24"/>
              </w:rPr>
            </w:pPr>
            <w:r w:rsidRPr="002942C3">
              <w:rPr>
                <w:rFonts w:eastAsia="Times New Roman"/>
                <w:b/>
                <w:bCs/>
                <w:szCs w:val="24"/>
              </w:rPr>
              <w:t>124</w:t>
            </w:r>
          </w:p>
        </w:tc>
      </w:tr>
    </w:tbl>
    <w:p w:rsidR="001A3A82" w:rsidRPr="00424848" w:rsidRDefault="00424848" w:rsidP="001126B7">
      <w:pPr>
        <w:pStyle w:val="NoSpacing"/>
        <w:rPr>
          <w:b/>
          <w:szCs w:val="24"/>
        </w:rPr>
      </w:pPr>
      <w:r w:rsidRPr="00424848">
        <w:rPr>
          <w:b/>
          <w:szCs w:val="24"/>
        </w:rPr>
        <w:t xml:space="preserve">Data: </w:t>
      </w:r>
      <w:r w:rsidRPr="00424848">
        <w:rPr>
          <w:szCs w:val="24"/>
        </w:rPr>
        <w:t>Lapid Ventures</w:t>
      </w:r>
    </w:p>
    <w:p w:rsidR="001A3A82" w:rsidRDefault="001A3A82" w:rsidP="001126B7">
      <w:pPr>
        <w:pStyle w:val="NoSpacing"/>
        <w:rPr>
          <w:b/>
          <w:sz w:val="28"/>
          <w:szCs w:val="28"/>
        </w:rPr>
      </w:pPr>
    </w:p>
    <w:p w:rsidR="009B67F8" w:rsidRPr="009B67F8" w:rsidRDefault="009B67F8" w:rsidP="005F3132">
      <w:pPr>
        <w:pStyle w:val="NoSpacing"/>
        <w:jc w:val="both"/>
        <w:rPr>
          <w:szCs w:val="24"/>
        </w:rPr>
      </w:pPr>
      <w:r w:rsidRPr="009B67F8">
        <w:rPr>
          <w:b/>
          <w:szCs w:val="24"/>
        </w:rPr>
        <w:t xml:space="preserve">Figure 2 </w:t>
      </w:r>
      <w:r w:rsidRPr="009B67F8">
        <w:rPr>
          <w:szCs w:val="24"/>
        </w:rPr>
        <w:t xml:space="preserve">uses projections from the state’s Department of Workforce and Labor Development </w:t>
      </w:r>
      <w:r w:rsidR="007700EC">
        <w:rPr>
          <w:szCs w:val="24"/>
        </w:rPr>
        <w:t>which indicate</w:t>
      </w:r>
      <w:r>
        <w:rPr>
          <w:szCs w:val="24"/>
        </w:rPr>
        <w:t xml:space="preserve"> that an addition</w:t>
      </w:r>
      <w:r w:rsidR="004B5CDE">
        <w:rPr>
          <w:szCs w:val="24"/>
        </w:rPr>
        <w:t>al</w:t>
      </w:r>
      <w:r>
        <w:rPr>
          <w:szCs w:val="24"/>
        </w:rPr>
        <w:t xml:space="preserve"> 183,313 persons over the age of 65 will be added to the population in the four counties of Ocean, </w:t>
      </w:r>
      <w:r w:rsidRPr="009B67F8">
        <w:rPr>
          <w:szCs w:val="24"/>
        </w:rPr>
        <w:t>Atlantic, Burlington and Monmouth</w:t>
      </w:r>
      <w:r w:rsidR="004B5CDE">
        <w:rPr>
          <w:szCs w:val="24"/>
        </w:rPr>
        <w:t xml:space="preserve"> between 2010 and 2030.</w:t>
      </w:r>
    </w:p>
    <w:p w:rsidR="009B67F8" w:rsidRDefault="009B67F8" w:rsidP="001126B7">
      <w:pPr>
        <w:pStyle w:val="NoSpacing"/>
        <w:rPr>
          <w:b/>
          <w:sz w:val="28"/>
          <w:szCs w:val="28"/>
        </w:rPr>
      </w:pPr>
    </w:p>
    <w:p w:rsidR="007700EC" w:rsidRDefault="007700EC" w:rsidP="001126B7">
      <w:pPr>
        <w:pStyle w:val="NoSpacing"/>
        <w:rPr>
          <w:b/>
          <w:sz w:val="28"/>
          <w:szCs w:val="28"/>
        </w:rPr>
      </w:pPr>
    </w:p>
    <w:p w:rsidR="001126B7" w:rsidRPr="009C660F" w:rsidRDefault="001126B7" w:rsidP="001126B7">
      <w:pPr>
        <w:pStyle w:val="NoSpacing"/>
        <w:rPr>
          <w:b/>
          <w:sz w:val="28"/>
          <w:szCs w:val="28"/>
        </w:rPr>
      </w:pPr>
      <w:r w:rsidRPr="009C660F">
        <w:rPr>
          <w:b/>
          <w:sz w:val="28"/>
          <w:szCs w:val="28"/>
        </w:rPr>
        <w:t xml:space="preserve">Figure </w:t>
      </w:r>
      <w:r w:rsidR="009B67F8">
        <w:rPr>
          <w:b/>
          <w:sz w:val="28"/>
          <w:szCs w:val="28"/>
        </w:rPr>
        <w:t>2</w:t>
      </w:r>
      <w:r w:rsidR="000C6D0A">
        <w:rPr>
          <w:b/>
          <w:sz w:val="28"/>
          <w:szCs w:val="28"/>
        </w:rPr>
        <w:t xml:space="preserve">: </w:t>
      </w:r>
      <w:r w:rsidRPr="009C660F">
        <w:rPr>
          <w:b/>
          <w:sz w:val="28"/>
          <w:szCs w:val="28"/>
        </w:rPr>
        <w:t>Growth in Ocean, Atlantic, Burlington and Monmouth</w:t>
      </w:r>
      <w:r w:rsidR="009C660F">
        <w:rPr>
          <w:b/>
          <w:sz w:val="28"/>
          <w:szCs w:val="28"/>
        </w:rPr>
        <w:t xml:space="preserve"> </w:t>
      </w:r>
      <w:r w:rsidRPr="009C660F">
        <w:rPr>
          <w:b/>
          <w:sz w:val="28"/>
          <w:szCs w:val="28"/>
        </w:rPr>
        <w:t>Counties</w:t>
      </w:r>
      <w:r w:rsidR="000C6D0A" w:rsidRPr="000C6D0A">
        <w:rPr>
          <w:b/>
          <w:sz w:val="28"/>
          <w:szCs w:val="28"/>
        </w:rPr>
        <w:t xml:space="preserve"> </w:t>
      </w:r>
      <w:r w:rsidR="000C6D0A">
        <w:rPr>
          <w:b/>
          <w:sz w:val="28"/>
          <w:szCs w:val="28"/>
        </w:rPr>
        <w:t>in Number of Persons Aged 60 and Older</w:t>
      </w:r>
      <w:r w:rsidRPr="009C660F">
        <w:rPr>
          <w:b/>
          <w:sz w:val="28"/>
          <w:szCs w:val="28"/>
        </w:rPr>
        <w:t>, 2010-2030.</w:t>
      </w:r>
    </w:p>
    <w:tbl>
      <w:tblPr>
        <w:tblW w:w="8960" w:type="dxa"/>
        <w:tblInd w:w="93" w:type="dxa"/>
        <w:tblLook w:val="04A0" w:firstRow="1" w:lastRow="0" w:firstColumn="1" w:lastColumn="0" w:noHBand="0" w:noVBand="1"/>
      </w:tblPr>
      <w:tblGrid>
        <w:gridCol w:w="1365"/>
        <w:gridCol w:w="1155"/>
        <w:gridCol w:w="1300"/>
        <w:gridCol w:w="1300"/>
        <w:gridCol w:w="1340"/>
        <w:gridCol w:w="1160"/>
        <w:gridCol w:w="1340"/>
      </w:tblGrid>
      <w:tr w:rsidR="007D71AD" w:rsidRPr="007D71AD" w:rsidTr="009A0ACC">
        <w:trPr>
          <w:trHeight w:val="945"/>
        </w:trPr>
        <w:tc>
          <w:tcPr>
            <w:tcW w:w="1365"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rPr>
                <w:rFonts w:eastAsia="Times New Roman"/>
                <w:color w:val="FFFFFF"/>
                <w:szCs w:val="24"/>
              </w:rPr>
            </w:pPr>
            <w:r w:rsidRPr="007D71AD">
              <w:rPr>
                <w:rFonts w:eastAsia="Times New Roman"/>
                <w:color w:val="FFFFFF"/>
                <w:szCs w:val="24"/>
              </w:rPr>
              <w:t xml:space="preserve">Ocean </w:t>
            </w:r>
          </w:p>
        </w:tc>
        <w:tc>
          <w:tcPr>
            <w:tcW w:w="1155"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2010</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2015</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2020</w:t>
            </w:r>
          </w:p>
        </w:tc>
        <w:tc>
          <w:tcPr>
            <w:tcW w:w="134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2025</w:t>
            </w:r>
          </w:p>
        </w:tc>
        <w:tc>
          <w:tcPr>
            <w:tcW w:w="116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2030</w:t>
            </w:r>
          </w:p>
        </w:tc>
        <w:tc>
          <w:tcPr>
            <w:tcW w:w="1340" w:type="dxa"/>
            <w:tcBorders>
              <w:top w:val="single" w:sz="4" w:space="0" w:color="auto"/>
              <w:left w:val="nil"/>
              <w:bottom w:val="single" w:sz="4" w:space="0" w:color="auto"/>
              <w:right w:val="single" w:sz="4" w:space="0" w:color="auto"/>
            </w:tcBorders>
            <w:shd w:val="clear" w:color="000000" w:fill="16365C"/>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Older Population Increase</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65-69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31,740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37,900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39,300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44,300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44,400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12,660</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70-74</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26,474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30,500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36,500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38,100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42,900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16,426</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75-79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23,556</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22,900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26,400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31,800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33,200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9,644</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80-84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19,724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18,700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18,300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21,300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25,800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6,076</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85+</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19,610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21,600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22,300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22,800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25,100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5,490</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rPr>
                <w:rFonts w:eastAsia="Times New Roman"/>
                <w:color w:val="000000"/>
                <w:szCs w:val="24"/>
              </w:rPr>
            </w:pPr>
            <w:r w:rsidRPr="007D71AD">
              <w:rPr>
                <w:rFonts w:eastAsia="Times New Roman"/>
                <w:color w:val="000000"/>
                <w:szCs w:val="24"/>
              </w:rPr>
              <w:t xml:space="preserve">All 65 plus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121,104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131,600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142,800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158,300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171,400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C67B55" w:rsidRDefault="007D71AD" w:rsidP="007D71AD">
            <w:pPr>
              <w:spacing w:after="0" w:line="240" w:lineRule="auto"/>
              <w:jc w:val="center"/>
              <w:rPr>
                <w:rFonts w:eastAsia="Times New Roman"/>
                <w:b/>
                <w:color w:val="000000"/>
                <w:szCs w:val="24"/>
              </w:rPr>
            </w:pPr>
            <w:r w:rsidRPr="00C67B55">
              <w:rPr>
                <w:rFonts w:eastAsia="Times New Roman"/>
                <w:b/>
                <w:color w:val="000000"/>
                <w:szCs w:val="24"/>
              </w:rPr>
              <w:t>50,296</w:t>
            </w:r>
          </w:p>
        </w:tc>
      </w:tr>
    </w:tbl>
    <w:p w:rsidR="001126B7" w:rsidRDefault="001126B7" w:rsidP="001126B7">
      <w:pPr>
        <w:pStyle w:val="NoSpacing"/>
      </w:pPr>
    </w:p>
    <w:p w:rsidR="00C67B55" w:rsidRDefault="00C67B55" w:rsidP="001126B7">
      <w:pPr>
        <w:pStyle w:val="NoSpacing"/>
      </w:pPr>
    </w:p>
    <w:p w:rsidR="00C67B55" w:rsidRDefault="00C67B55" w:rsidP="001126B7">
      <w:pPr>
        <w:pStyle w:val="NoSpacing"/>
      </w:pPr>
    </w:p>
    <w:p w:rsidR="00C67B55" w:rsidRDefault="00C67B55" w:rsidP="001126B7">
      <w:pPr>
        <w:pStyle w:val="NoSpacing"/>
      </w:pPr>
    </w:p>
    <w:tbl>
      <w:tblPr>
        <w:tblW w:w="8960" w:type="dxa"/>
        <w:tblInd w:w="93" w:type="dxa"/>
        <w:tblLook w:val="04A0" w:firstRow="1" w:lastRow="0" w:firstColumn="1" w:lastColumn="0" w:noHBand="0" w:noVBand="1"/>
      </w:tblPr>
      <w:tblGrid>
        <w:gridCol w:w="1365"/>
        <w:gridCol w:w="1155"/>
        <w:gridCol w:w="1300"/>
        <w:gridCol w:w="1300"/>
        <w:gridCol w:w="1340"/>
        <w:gridCol w:w="1160"/>
        <w:gridCol w:w="1340"/>
      </w:tblGrid>
      <w:tr w:rsidR="007D71AD" w:rsidRPr="007D71AD" w:rsidTr="009A0ACC">
        <w:trPr>
          <w:trHeight w:val="945"/>
        </w:trPr>
        <w:tc>
          <w:tcPr>
            <w:tcW w:w="1365"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lastRenderedPageBreak/>
              <w:t>Atlantic</w:t>
            </w:r>
          </w:p>
        </w:tc>
        <w:tc>
          <w:tcPr>
            <w:tcW w:w="1155"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2010</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2015</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2020</w:t>
            </w:r>
          </w:p>
        </w:tc>
        <w:tc>
          <w:tcPr>
            <w:tcW w:w="134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2025</w:t>
            </w:r>
          </w:p>
        </w:tc>
        <w:tc>
          <w:tcPr>
            <w:tcW w:w="116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2030</w:t>
            </w:r>
          </w:p>
        </w:tc>
        <w:tc>
          <w:tcPr>
            <w:tcW w:w="1340" w:type="dxa"/>
            <w:tcBorders>
              <w:top w:val="single" w:sz="4" w:space="0" w:color="auto"/>
              <w:left w:val="nil"/>
              <w:bottom w:val="single" w:sz="4" w:space="0" w:color="auto"/>
              <w:right w:val="single" w:sz="4" w:space="0" w:color="auto"/>
            </w:tcBorders>
            <w:shd w:val="clear" w:color="000000" w:fill="16365C"/>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Older Population Increase</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65-69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12,034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14,900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19,900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7,766</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70-74</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9,054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10,500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13,100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14,800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17,700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8,646</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75-79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7,035</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7,500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8,700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10,900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5,365</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80-84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5,567</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5,300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6,700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8,400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2,833</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85+</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5,212</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6,200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6,700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7,600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2,388</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rPr>
                <w:rFonts w:eastAsia="Times New Roman"/>
                <w:color w:val="000000"/>
                <w:szCs w:val="24"/>
              </w:rPr>
            </w:pPr>
            <w:r w:rsidRPr="007D71AD">
              <w:rPr>
                <w:rFonts w:eastAsia="Times New Roman"/>
                <w:color w:val="000000"/>
                <w:szCs w:val="24"/>
              </w:rPr>
              <w:t xml:space="preserve">All 65 plus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38,902</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44,100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50,400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59,000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65,900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26,998</w:t>
            </w:r>
          </w:p>
        </w:tc>
      </w:tr>
    </w:tbl>
    <w:p w:rsidR="001126B7" w:rsidRDefault="001126B7" w:rsidP="001126B7">
      <w:pPr>
        <w:pStyle w:val="NoSpacing"/>
      </w:pPr>
    </w:p>
    <w:tbl>
      <w:tblPr>
        <w:tblW w:w="8960" w:type="dxa"/>
        <w:tblInd w:w="93" w:type="dxa"/>
        <w:tblLook w:val="04A0" w:firstRow="1" w:lastRow="0" w:firstColumn="1" w:lastColumn="0" w:noHBand="0" w:noVBand="1"/>
      </w:tblPr>
      <w:tblGrid>
        <w:gridCol w:w="1337"/>
        <w:gridCol w:w="1280"/>
        <w:gridCol w:w="1300"/>
        <w:gridCol w:w="1300"/>
        <w:gridCol w:w="1340"/>
        <w:gridCol w:w="1160"/>
        <w:gridCol w:w="1340"/>
      </w:tblGrid>
      <w:tr w:rsidR="007D71AD" w:rsidRPr="007D71AD" w:rsidTr="007D71AD">
        <w:trPr>
          <w:trHeight w:val="945"/>
        </w:trPr>
        <w:tc>
          <w:tcPr>
            <w:tcW w:w="1240"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rPr>
                <w:rFonts w:eastAsia="Times New Roman"/>
                <w:b/>
                <w:bCs/>
                <w:color w:val="FFFFFF"/>
                <w:szCs w:val="24"/>
              </w:rPr>
            </w:pPr>
            <w:r w:rsidRPr="007D71AD">
              <w:rPr>
                <w:rFonts w:eastAsia="Times New Roman"/>
                <w:b/>
                <w:bCs/>
                <w:color w:val="FFFFFF"/>
                <w:szCs w:val="24"/>
              </w:rPr>
              <w:t>Burlington</w:t>
            </w:r>
          </w:p>
        </w:tc>
        <w:tc>
          <w:tcPr>
            <w:tcW w:w="128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2,010</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2,015</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2,020</w:t>
            </w:r>
          </w:p>
        </w:tc>
        <w:tc>
          <w:tcPr>
            <w:tcW w:w="134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2,025</w:t>
            </w:r>
          </w:p>
        </w:tc>
        <w:tc>
          <w:tcPr>
            <w:tcW w:w="116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2,030</w:t>
            </w:r>
          </w:p>
        </w:tc>
        <w:tc>
          <w:tcPr>
            <w:tcW w:w="1340" w:type="dxa"/>
            <w:tcBorders>
              <w:top w:val="single" w:sz="4" w:space="0" w:color="auto"/>
              <w:left w:val="nil"/>
              <w:bottom w:val="single" w:sz="4" w:space="0" w:color="auto"/>
              <w:right w:val="single" w:sz="4" w:space="0" w:color="auto"/>
            </w:tcBorders>
            <w:shd w:val="clear" w:color="000000" w:fill="16365C"/>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Older Population Increase</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65-69</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18,562</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23,400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25,500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30,500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31,800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13,238</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70-74</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13,884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16,400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20,800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22,800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27,300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13,416</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75-79</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11,612</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11,900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14,200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18,100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19,900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8,288</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80-84 </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9,417</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9,200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9,500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11,400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14,600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5,183</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85+</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8,715</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10,100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10,700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11,400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4,085</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rPr>
                <w:rFonts w:eastAsia="Times New Roman"/>
                <w:color w:val="000000"/>
                <w:szCs w:val="24"/>
              </w:rPr>
            </w:pPr>
            <w:r w:rsidRPr="007D71AD">
              <w:rPr>
                <w:rFonts w:eastAsia="Times New Roman"/>
                <w:color w:val="000000"/>
                <w:szCs w:val="24"/>
              </w:rPr>
              <w:t xml:space="preserve">All 65 plus </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62,190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71,000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80,700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94,200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106,400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44,210</w:t>
            </w:r>
          </w:p>
        </w:tc>
      </w:tr>
    </w:tbl>
    <w:p w:rsidR="007D71AD" w:rsidRDefault="007D71AD" w:rsidP="001126B7">
      <w:pPr>
        <w:pStyle w:val="NoSpacing"/>
      </w:pPr>
    </w:p>
    <w:tbl>
      <w:tblPr>
        <w:tblW w:w="8960" w:type="dxa"/>
        <w:tblInd w:w="93" w:type="dxa"/>
        <w:tblLook w:val="04A0" w:firstRow="1" w:lastRow="0" w:firstColumn="1" w:lastColumn="0" w:noHBand="0" w:noVBand="1"/>
      </w:tblPr>
      <w:tblGrid>
        <w:gridCol w:w="1363"/>
        <w:gridCol w:w="1280"/>
        <w:gridCol w:w="1300"/>
        <w:gridCol w:w="1300"/>
        <w:gridCol w:w="1340"/>
        <w:gridCol w:w="1160"/>
        <w:gridCol w:w="1340"/>
      </w:tblGrid>
      <w:tr w:rsidR="007D71AD" w:rsidRPr="007D71AD" w:rsidTr="007D71AD">
        <w:trPr>
          <w:trHeight w:val="945"/>
        </w:trPr>
        <w:tc>
          <w:tcPr>
            <w:tcW w:w="1240"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rPr>
                <w:rFonts w:eastAsia="Times New Roman"/>
                <w:b/>
                <w:bCs/>
                <w:color w:val="FFFFFF"/>
                <w:szCs w:val="24"/>
              </w:rPr>
            </w:pPr>
            <w:r w:rsidRPr="007D71AD">
              <w:rPr>
                <w:rFonts w:eastAsia="Times New Roman"/>
                <w:b/>
                <w:bCs/>
                <w:color w:val="FFFFFF"/>
                <w:szCs w:val="24"/>
              </w:rPr>
              <w:t>Monmouth</w:t>
            </w:r>
          </w:p>
        </w:tc>
        <w:tc>
          <w:tcPr>
            <w:tcW w:w="128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2010</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2015</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2020</w:t>
            </w:r>
          </w:p>
        </w:tc>
        <w:tc>
          <w:tcPr>
            <w:tcW w:w="134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2025</w:t>
            </w:r>
          </w:p>
        </w:tc>
        <w:tc>
          <w:tcPr>
            <w:tcW w:w="116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2030</w:t>
            </w:r>
          </w:p>
        </w:tc>
        <w:tc>
          <w:tcPr>
            <w:tcW w:w="1340" w:type="dxa"/>
            <w:tcBorders>
              <w:top w:val="single" w:sz="4" w:space="0" w:color="auto"/>
              <w:left w:val="nil"/>
              <w:bottom w:val="single" w:sz="4" w:space="0" w:color="auto"/>
              <w:right w:val="single" w:sz="4" w:space="0" w:color="auto"/>
            </w:tcBorders>
            <w:shd w:val="clear" w:color="000000" w:fill="16365C"/>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Older Population Increase</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65-69</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26,194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33,500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37,100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42,700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42,900</w:t>
            </w:r>
          </w:p>
        </w:tc>
        <w:tc>
          <w:tcPr>
            <w:tcW w:w="1340" w:type="dxa"/>
            <w:tcBorders>
              <w:top w:val="nil"/>
              <w:left w:val="nil"/>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16,706</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70-74</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18,148</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22,900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29,400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32,700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37,700</w:t>
            </w:r>
          </w:p>
        </w:tc>
        <w:tc>
          <w:tcPr>
            <w:tcW w:w="1340" w:type="dxa"/>
            <w:tcBorders>
              <w:top w:val="nil"/>
              <w:left w:val="nil"/>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19,552</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75-79</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15,444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15,700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19,800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25,500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28,500</w:t>
            </w:r>
          </w:p>
        </w:tc>
        <w:tc>
          <w:tcPr>
            <w:tcW w:w="1340" w:type="dxa"/>
            <w:tcBorders>
              <w:top w:val="nil"/>
              <w:left w:val="nil"/>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13,056</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80-84 </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13,154</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12,400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12,600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16,000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20,600</w:t>
            </w:r>
          </w:p>
        </w:tc>
        <w:tc>
          <w:tcPr>
            <w:tcW w:w="1340" w:type="dxa"/>
            <w:tcBorders>
              <w:top w:val="nil"/>
              <w:left w:val="nil"/>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7,446</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85+</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13,751</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15,300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15,800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16,400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18,800</w:t>
            </w:r>
          </w:p>
        </w:tc>
        <w:tc>
          <w:tcPr>
            <w:tcW w:w="1340" w:type="dxa"/>
            <w:tcBorders>
              <w:top w:val="nil"/>
              <w:left w:val="nil"/>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5,049</w:t>
            </w:r>
          </w:p>
        </w:tc>
      </w:tr>
      <w:tr w:rsidR="007D71AD" w:rsidRPr="007D71AD" w:rsidTr="007D71A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rPr>
                <w:rFonts w:eastAsia="Times New Roman"/>
                <w:color w:val="000000"/>
                <w:szCs w:val="24"/>
              </w:rPr>
            </w:pPr>
            <w:r w:rsidRPr="007D71AD">
              <w:rPr>
                <w:rFonts w:eastAsia="Times New Roman"/>
                <w:color w:val="000000"/>
                <w:szCs w:val="24"/>
              </w:rPr>
              <w:t xml:space="preserve">All 65 plus </w:t>
            </w:r>
          </w:p>
        </w:tc>
        <w:tc>
          <w:tcPr>
            <w:tcW w:w="128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86,691</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99,800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114,700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133,300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148,500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61,809</w:t>
            </w:r>
          </w:p>
        </w:tc>
      </w:tr>
    </w:tbl>
    <w:p w:rsidR="007D71AD" w:rsidRDefault="007D71AD" w:rsidP="001126B7">
      <w:pPr>
        <w:pStyle w:val="NoSpacing"/>
      </w:pPr>
    </w:p>
    <w:p w:rsidR="007700EC" w:rsidRDefault="007700EC" w:rsidP="001126B7">
      <w:pPr>
        <w:pStyle w:val="NoSpacing"/>
      </w:pPr>
    </w:p>
    <w:p w:rsidR="00C67B55" w:rsidRDefault="00C67B55" w:rsidP="001126B7">
      <w:pPr>
        <w:pStyle w:val="NoSpacing"/>
      </w:pPr>
    </w:p>
    <w:p w:rsidR="00C67B55" w:rsidRDefault="00C67B55" w:rsidP="001126B7">
      <w:pPr>
        <w:pStyle w:val="NoSpacing"/>
      </w:pPr>
    </w:p>
    <w:p w:rsidR="00C67B55" w:rsidRDefault="00C67B55" w:rsidP="001126B7">
      <w:pPr>
        <w:pStyle w:val="NoSpacing"/>
      </w:pPr>
    </w:p>
    <w:p w:rsidR="00C67B55" w:rsidRDefault="00C67B55" w:rsidP="001126B7">
      <w:pPr>
        <w:pStyle w:val="NoSpacing"/>
      </w:pPr>
    </w:p>
    <w:p w:rsidR="00C67B55" w:rsidRDefault="00C67B55" w:rsidP="001126B7">
      <w:pPr>
        <w:pStyle w:val="NoSpacing"/>
      </w:pPr>
    </w:p>
    <w:tbl>
      <w:tblPr>
        <w:tblW w:w="8960" w:type="dxa"/>
        <w:tblInd w:w="93" w:type="dxa"/>
        <w:tblLook w:val="04A0" w:firstRow="1" w:lastRow="0" w:firstColumn="1" w:lastColumn="0" w:noHBand="0" w:noVBand="1"/>
      </w:tblPr>
      <w:tblGrid>
        <w:gridCol w:w="1365"/>
        <w:gridCol w:w="1155"/>
        <w:gridCol w:w="1300"/>
        <w:gridCol w:w="1300"/>
        <w:gridCol w:w="1340"/>
        <w:gridCol w:w="1160"/>
        <w:gridCol w:w="1340"/>
      </w:tblGrid>
      <w:tr w:rsidR="007D71AD" w:rsidRPr="007D71AD" w:rsidTr="009A0ACC">
        <w:trPr>
          <w:trHeight w:val="945"/>
        </w:trPr>
        <w:tc>
          <w:tcPr>
            <w:tcW w:w="1365" w:type="dxa"/>
            <w:tcBorders>
              <w:top w:val="single" w:sz="4" w:space="0" w:color="auto"/>
              <w:left w:val="single" w:sz="4" w:space="0" w:color="auto"/>
              <w:bottom w:val="nil"/>
              <w:right w:val="nil"/>
            </w:tcBorders>
            <w:shd w:val="clear" w:color="000000" w:fill="16365C"/>
            <w:noWrap/>
            <w:vAlign w:val="center"/>
            <w:hideMark/>
          </w:tcPr>
          <w:p w:rsidR="007D71AD" w:rsidRPr="007D71AD" w:rsidRDefault="007D71AD" w:rsidP="007D71AD">
            <w:pPr>
              <w:spacing w:after="0" w:line="240" w:lineRule="auto"/>
              <w:rPr>
                <w:rFonts w:eastAsia="Times New Roman"/>
                <w:b/>
                <w:bCs/>
                <w:color w:val="FFFFFF"/>
                <w:szCs w:val="24"/>
              </w:rPr>
            </w:pPr>
            <w:r w:rsidRPr="007D71AD">
              <w:rPr>
                <w:rFonts w:eastAsia="Times New Roman"/>
                <w:b/>
                <w:bCs/>
                <w:color w:val="FFFFFF"/>
                <w:szCs w:val="24"/>
              </w:rPr>
              <w:lastRenderedPageBreak/>
              <w:t>Total</w:t>
            </w:r>
          </w:p>
        </w:tc>
        <w:tc>
          <w:tcPr>
            <w:tcW w:w="1155"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2010</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2015</w:t>
            </w:r>
          </w:p>
        </w:tc>
        <w:tc>
          <w:tcPr>
            <w:tcW w:w="130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2020</w:t>
            </w:r>
          </w:p>
        </w:tc>
        <w:tc>
          <w:tcPr>
            <w:tcW w:w="134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2025</w:t>
            </w:r>
          </w:p>
        </w:tc>
        <w:tc>
          <w:tcPr>
            <w:tcW w:w="1160" w:type="dxa"/>
            <w:tcBorders>
              <w:top w:val="single" w:sz="4" w:space="0" w:color="auto"/>
              <w:left w:val="nil"/>
              <w:bottom w:val="single" w:sz="4" w:space="0" w:color="auto"/>
              <w:right w:val="single" w:sz="4" w:space="0" w:color="auto"/>
            </w:tcBorders>
            <w:shd w:val="clear" w:color="000000" w:fill="16365C"/>
            <w:noWrap/>
            <w:vAlign w:val="center"/>
            <w:hideMark/>
          </w:tcPr>
          <w:p w:rsidR="007D71AD" w:rsidRPr="007D71AD" w:rsidRDefault="007D71AD" w:rsidP="007D71AD">
            <w:pPr>
              <w:spacing w:after="0" w:line="240" w:lineRule="auto"/>
              <w:jc w:val="center"/>
              <w:rPr>
                <w:rFonts w:eastAsia="Times New Roman"/>
                <w:b/>
                <w:bCs/>
                <w:color w:val="FFFFFF"/>
                <w:szCs w:val="24"/>
              </w:rPr>
            </w:pPr>
            <w:r w:rsidRPr="007D71AD">
              <w:rPr>
                <w:rFonts w:eastAsia="Times New Roman"/>
                <w:b/>
                <w:bCs/>
                <w:color w:val="FFFFFF"/>
                <w:szCs w:val="24"/>
              </w:rPr>
              <w:t>2030</w:t>
            </w:r>
          </w:p>
        </w:tc>
        <w:tc>
          <w:tcPr>
            <w:tcW w:w="1340" w:type="dxa"/>
            <w:tcBorders>
              <w:top w:val="single" w:sz="4" w:space="0" w:color="auto"/>
              <w:left w:val="nil"/>
              <w:bottom w:val="single" w:sz="4" w:space="0" w:color="auto"/>
              <w:right w:val="single" w:sz="4" w:space="0" w:color="auto"/>
            </w:tcBorders>
            <w:shd w:val="clear" w:color="000000" w:fill="16365C"/>
            <w:vAlign w:val="center"/>
            <w:hideMark/>
          </w:tcPr>
          <w:p w:rsidR="007D71AD" w:rsidRPr="007D71AD" w:rsidRDefault="007D71AD" w:rsidP="007D71AD">
            <w:pPr>
              <w:spacing w:after="0" w:line="240" w:lineRule="auto"/>
              <w:jc w:val="center"/>
              <w:rPr>
                <w:rFonts w:eastAsia="Times New Roman"/>
                <w:color w:val="FFFFFF"/>
                <w:szCs w:val="24"/>
              </w:rPr>
            </w:pPr>
            <w:r w:rsidRPr="007D71AD">
              <w:rPr>
                <w:rFonts w:eastAsia="Times New Roman"/>
                <w:color w:val="FFFFFF"/>
                <w:szCs w:val="24"/>
              </w:rPr>
              <w:t>Older Population Increase</w:t>
            </w:r>
          </w:p>
        </w:tc>
      </w:tr>
      <w:tr w:rsidR="007D71AD" w:rsidRPr="007D71AD" w:rsidTr="009A0ACC">
        <w:trPr>
          <w:trHeight w:val="31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65-69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88,530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109,700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118,600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137,400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138,900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50,370</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70-74</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67,560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80,300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99,800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108,400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125,600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58,040</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75-79</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57,647</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58,000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69,100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86,300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94,000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36,353</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80-84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47,862</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45,600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46,100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55,400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69,400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21,538</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 xml:space="preserve"> 85+</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47,288</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52,900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55,000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57,300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64,300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szCs w:val="24"/>
              </w:rPr>
            </w:pPr>
            <w:r w:rsidRPr="007D71AD">
              <w:rPr>
                <w:rFonts w:eastAsia="Times New Roman"/>
                <w:szCs w:val="24"/>
              </w:rPr>
              <w:t>17,012</w:t>
            </w:r>
          </w:p>
        </w:tc>
      </w:tr>
      <w:tr w:rsidR="007D71AD" w:rsidRPr="007D71AD" w:rsidTr="009A0ACC">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7D71AD" w:rsidRPr="007D71AD" w:rsidRDefault="007D71AD" w:rsidP="007D71AD">
            <w:pPr>
              <w:spacing w:after="0" w:line="240" w:lineRule="auto"/>
              <w:rPr>
                <w:rFonts w:eastAsia="Times New Roman"/>
                <w:color w:val="000000"/>
                <w:szCs w:val="24"/>
              </w:rPr>
            </w:pPr>
            <w:r w:rsidRPr="007D71AD">
              <w:rPr>
                <w:rFonts w:eastAsia="Times New Roman"/>
                <w:color w:val="000000"/>
                <w:szCs w:val="24"/>
              </w:rPr>
              <w:t xml:space="preserve">All 65 plus </w:t>
            </w:r>
          </w:p>
        </w:tc>
        <w:tc>
          <w:tcPr>
            <w:tcW w:w="1155"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308,887</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346,500</w:t>
            </w:r>
          </w:p>
        </w:tc>
        <w:tc>
          <w:tcPr>
            <w:tcW w:w="130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388,600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444,800</w:t>
            </w:r>
          </w:p>
        </w:tc>
        <w:tc>
          <w:tcPr>
            <w:tcW w:w="1160" w:type="dxa"/>
            <w:tcBorders>
              <w:top w:val="nil"/>
              <w:left w:val="nil"/>
              <w:bottom w:val="single" w:sz="4" w:space="0" w:color="auto"/>
              <w:right w:val="single" w:sz="4" w:space="0" w:color="auto"/>
            </w:tcBorders>
            <w:shd w:val="clear" w:color="auto" w:fill="auto"/>
            <w:noWrap/>
            <w:vAlign w:val="center"/>
            <w:hideMark/>
          </w:tcPr>
          <w:p w:rsidR="007D71AD" w:rsidRPr="007D71AD" w:rsidRDefault="007D71AD" w:rsidP="007D71AD">
            <w:pPr>
              <w:spacing w:after="0" w:line="240" w:lineRule="auto"/>
              <w:jc w:val="center"/>
              <w:rPr>
                <w:rFonts w:eastAsia="Times New Roman"/>
                <w:color w:val="000000"/>
                <w:szCs w:val="24"/>
              </w:rPr>
            </w:pPr>
            <w:r w:rsidRPr="007D71AD">
              <w:rPr>
                <w:rFonts w:eastAsia="Times New Roman"/>
                <w:color w:val="000000"/>
                <w:szCs w:val="24"/>
              </w:rPr>
              <w:t>492,200</w:t>
            </w:r>
          </w:p>
        </w:tc>
        <w:tc>
          <w:tcPr>
            <w:tcW w:w="1340" w:type="dxa"/>
            <w:tcBorders>
              <w:top w:val="nil"/>
              <w:left w:val="nil"/>
              <w:bottom w:val="single" w:sz="4" w:space="0" w:color="auto"/>
              <w:right w:val="single" w:sz="4" w:space="0" w:color="auto"/>
            </w:tcBorders>
            <w:shd w:val="clear" w:color="auto" w:fill="auto"/>
            <w:noWrap/>
            <w:vAlign w:val="center"/>
            <w:hideMark/>
          </w:tcPr>
          <w:p w:rsidR="007D71AD" w:rsidRPr="00C67B55" w:rsidRDefault="007D71AD" w:rsidP="007D71AD">
            <w:pPr>
              <w:spacing w:after="0" w:line="240" w:lineRule="auto"/>
              <w:jc w:val="center"/>
              <w:rPr>
                <w:rFonts w:eastAsia="Times New Roman"/>
                <w:b/>
                <w:color w:val="000000"/>
                <w:szCs w:val="24"/>
              </w:rPr>
            </w:pPr>
            <w:r w:rsidRPr="00C67B55">
              <w:rPr>
                <w:rFonts w:eastAsia="Times New Roman"/>
                <w:b/>
                <w:color w:val="000000"/>
                <w:szCs w:val="24"/>
              </w:rPr>
              <w:t>183,313</w:t>
            </w:r>
          </w:p>
        </w:tc>
      </w:tr>
    </w:tbl>
    <w:p w:rsidR="007563F7" w:rsidRPr="00B871F3" w:rsidRDefault="007D71AD">
      <w:pPr>
        <w:rPr>
          <w:szCs w:val="24"/>
        </w:rPr>
      </w:pPr>
      <w:r>
        <w:rPr>
          <w:b/>
          <w:szCs w:val="24"/>
        </w:rPr>
        <w:t>D</w:t>
      </w:r>
      <w:r w:rsidR="007563F7" w:rsidRPr="00B871F3">
        <w:rPr>
          <w:b/>
          <w:szCs w:val="24"/>
        </w:rPr>
        <w:t>ata:</w:t>
      </w:r>
      <w:r w:rsidR="007563F7" w:rsidRPr="00B871F3">
        <w:rPr>
          <w:szCs w:val="24"/>
        </w:rPr>
        <w:t xml:space="preserve"> New Jersey Department of Workforce and Labor Development. See </w:t>
      </w:r>
      <w:hyperlink r:id="rId10" w:history="1">
        <w:r w:rsidR="007563F7" w:rsidRPr="00B871F3">
          <w:rPr>
            <w:rStyle w:val="Hyperlink"/>
            <w:szCs w:val="24"/>
          </w:rPr>
          <w:t>http://lwd.dol.state.nj.us/labor/lpa/dmograph/lfproj/lfproj_index.html</w:t>
        </w:r>
      </w:hyperlink>
    </w:p>
    <w:p w:rsidR="007563F7" w:rsidRPr="004B5CDE" w:rsidRDefault="004B5CDE">
      <w:pPr>
        <w:rPr>
          <w:szCs w:val="24"/>
        </w:rPr>
      </w:pPr>
      <w:r w:rsidRPr="004B5CDE">
        <w:rPr>
          <w:b/>
          <w:szCs w:val="24"/>
        </w:rPr>
        <w:t xml:space="preserve">Figure 3 </w:t>
      </w:r>
      <w:r w:rsidRPr="004B5CDE">
        <w:rPr>
          <w:szCs w:val="24"/>
        </w:rPr>
        <w:t xml:space="preserve">shows a graph of this increase in the population of persons over the age of 65 in the four-county area. </w:t>
      </w:r>
    </w:p>
    <w:p w:rsidR="007563F7" w:rsidRPr="009C660F" w:rsidRDefault="009C660F" w:rsidP="009C660F">
      <w:pPr>
        <w:pStyle w:val="NoSpacing"/>
        <w:rPr>
          <w:sz w:val="28"/>
          <w:szCs w:val="28"/>
        </w:rPr>
      </w:pPr>
      <w:r w:rsidRPr="009C660F">
        <w:rPr>
          <w:b/>
          <w:sz w:val="28"/>
          <w:szCs w:val="28"/>
        </w:rPr>
        <w:t xml:space="preserve">Figure </w:t>
      </w:r>
      <w:r w:rsidR="004B5CDE">
        <w:rPr>
          <w:b/>
          <w:sz w:val="28"/>
          <w:szCs w:val="28"/>
        </w:rPr>
        <w:t>3</w:t>
      </w:r>
      <w:r w:rsidR="000C6D0A">
        <w:rPr>
          <w:b/>
          <w:sz w:val="28"/>
          <w:szCs w:val="28"/>
        </w:rPr>
        <w:t xml:space="preserve">: Graph of </w:t>
      </w:r>
      <w:r w:rsidRPr="009C660F">
        <w:rPr>
          <w:b/>
          <w:sz w:val="28"/>
          <w:szCs w:val="28"/>
        </w:rPr>
        <w:t>Growth in Ocean, Atlantic, Burlington and Monmouth in the Number of Persons Aged 65</w:t>
      </w:r>
      <w:r w:rsidRPr="009C660F">
        <w:rPr>
          <w:sz w:val="28"/>
          <w:szCs w:val="28"/>
        </w:rPr>
        <w:t xml:space="preserve"> </w:t>
      </w:r>
      <w:r w:rsidRPr="009C660F">
        <w:rPr>
          <w:b/>
          <w:sz w:val="28"/>
          <w:szCs w:val="28"/>
        </w:rPr>
        <w:t>and Older, 2010-2030</w:t>
      </w:r>
    </w:p>
    <w:p w:rsidR="007563F7" w:rsidRDefault="005C0FAF" w:rsidP="009C660F">
      <w:pPr>
        <w:pStyle w:val="NoSpacing"/>
        <w:rPr>
          <w:szCs w:val="24"/>
        </w:rPr>
      </w:pPr>
      <w:r>
        <w:rPr>
          <w:noProof/>
        </w:rPr>
        <w:drawing>
          <wp:inline distT="0" distB="0" distL="0" distR="0" wp14:anchorId="15C00F7D" wp14:editId="449B061A">
            <wp:extent cx="5943600" cy="3083560"/>
            <wp:effectExtent l="0" t="0" r="1905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660F" w:rsidRPr="00B871F3" w:rsidRDefault="009C660F" w:rsidP="009C660F">
      <w:pPr>
        <w:pStyle w:val="NoSpacing"/>
        <w:rPr>
          <w:szCs w:val="24"/>
        </w:rPr>
      </w:pPr>
      <w:r w:rsidRPr="00B871F3">
        <w:rPr>
          <w:b/>
          <w:szCs w:val="24"/>
        </w:rPr>
        <w:t>Data:</w:t>
      </w:r>
      <w:r w:rsidRPr="00B871F3">
        <w:rPr>
          <w:szCs w:val="24"/>
        </w:rPr>
        <w:t xml:space="preserve"> New Jersey Department of Workforce and Labor Development. See </w:t>
      </w:r>
      <w:hyperlink r:id="rId12" w:history="1">
        <w:r w:rsidRPr="00B871F3">
          <w:rPr>
            <w:rStyle w:val="Hyperlink"/>
            <w:szCs w:val="24"/>
          </w:rPr>
          <w:t>http://lwd.dol.state.nj.us/labor/lpa/dmograph/lfproj/lfproj_index.html</w:t>
        </w:r>
      </w:hyperlink>
    </w:p>
    <w:p w:rsidR="007563F7" w:rsidRPr="00B871F3" w:rsidRDefault="007563F7">
      <w:pPr>
        <w:rPr>
          <w:szCs w:val="24"/>
        </w:rPr>
      </w:pPr>
    </w:p>
    <w:p w:rsidR="007700EC" w:rsidRDefault="000F01CD" w:rsidP="00141497">
      <w:pPr>
        <w:jc w:val="both"/>
        <w:rPr>
          <w:szCs w:val="24"/>
        </w:rPr>
      </w:pPr>
      <w:r w:rsidRPr="000F01CD">
        <w:rPr>
          <w:szCs w:val="24"/>
        </w:rPr>
        <w:t xml:space="preserve">For at least three decades, </w:t>
      </w:r>
      <w:r>
        <w:rPr>
          <w:szCs w:val="24"/>
        </w:rPr>
        <w:t>utilization of American nursing homes has been characterized as being composed of two distinct populations:</w:t>
      </w:r>
    </w:p>
    <w:p w:rsidR="007700EC" w:rsidRDefault="007700EC" w:rsidP="00141497">
      <w:pPr>
        <w:jc w:val="both"/>
        <w:rPr>
          <w:szCs w:val="24"/>
        </w:rPr>
      </w:pPr>
      <w:r w:rsidRPr="007700EC">
        <w:rPr>
          <w:b/>
          <w:szCs w:val="24"/>
        </w:rPr>
        <w:lastRenderedPageBreak/>
        <w:t>1)</w:t>
      </w:r>
      <w:r>
        <w:rPr>
          <w:szCs w:val="24"/>
        </w:rPr>
        <w:t xml:space="preserve"> </w:t>
      </w:r>
      <w:r w:rsidR="00D307A3">
        <w:rPr>
          <w:szCs w:val="24"/>
        </w:rPr>
        <w:t>A</w:t>
      </w:r>
      <w:r w:rsidR="000F01CD">
        <w:rPr>
          <w:szCs w:val="24"/>
        </w:rPr>
        <w:t xml:space="preserve"> </w:t>
      </w:r>
      <w:r w:rsidR="000F01CD" w:rsidRPr="00C67B55">
        <w:rPr>
          <w:szCs w:val="24"/>
          <w:u w:val="single"/>
        </w:rPr>
        <w:t>Medicare</w:t>
      </w:r>
      <w:r w:rsidR="000F01CD">
        <w:rPr>
          <w:szCs w:val="24"/>
        </w:rPr>
        <w:t xml:space="preserve"> population that is discharged from a hospital to receive post-hospital rehabilitation and skilled care for a short period of time lasting from 17 to 28 days</w:t>
      </w:r>
      <w:r w:rsidR="00C67B55">
        <w:rPr>
          <w:szCs w:val="24"/>
        </w:rPr>
        <w:t>,</w:t>
      </w:r>
      <w:r w:rsidR="000F01CD">
        <w:rPr>
          <w:szCs w:val="24"/>
        </w:rPr>
        <w:t xml:space="preserve"> and</w:t>
      </w:r>
    </w:p>
    <w:p w:rsidR="000B2EA6" w:rsidRDefault="007700EC" w:rsidP="00141497">
      <w:pPr>
        <w:jc w:val="both"/>
        <w:rPr>
          <w:szCs w:val="24"/>
        </w:rPr>
      </w:pPr>
      <w:r w:rsidRPr="007700EC">
        <w:rPr>
          <w:b/>
          <w:szCs w:val="24"/>
        </w:rPr>
        <w:t>2)</w:t>
      </w:r>
      <w:r w:rsidR="000F01CD">
        <w:rPr>
          <w:szCs w:val="24"/>
        </w:rPr>
        <w:t xml:space="preserve"> </w:t>
      </w:r>
      <w:r w:rsidR="00D307A3">
        <w:rPr>
          <w:szCs w:val="24"/>
        </w:rPr>
        <w:t>A</w:t>
      </w:r>
      <w:r w:rsidR="000F01CD">
        <w:rPr>
          <w:szCs w:val="24"/>
        </w:rPr>
        <w:t xml:space="preserve"> </w:t>
      </w:r>
      <w:r w:rsidR="000F01CD" w:rsidRPr="00C67B55">
        <w:rPr>
          <w:szCs w:val="24"/>
          <w:u w:val="single"/>
        </w:rPr>
        <w:t>Medicaid</w:t>
      </w:r>
      <w:r w:rsidR="000F01CD">
        <w:rPr>
          <w:szCs w:val="24"/>
        </w:rPr>
        <w:t xml:space="preserve"> population</w:t>
      </w:r>
      <w:r w:rsidR="00E822B9">
        <w:rPr>
          <w:szCs w:val="24"/>
        </w:rPr>
        <w:t xml:space="preserve"> with less acuity that stays for an extended period and receives custodial care. The average Medicaid length of stay in a New Jersey nursing home is approximately </w:t>
      </w:r>
      <w:r w:rsidR="00BC2EA5">
        <w:rPr>
          <w:szCs w:val="24"/>
        </w:rPr>
        <w:t>two and a half</w:t>
      </w:r>
      <w:r w:rsidR="00E822B9">
        <w:rPr>
          <w:szCs w:val="24"/>
        </w:rPr>
        <w:t xml:space="preserve"> years. </w:t>
      </w:r>
      <w:r w:rsidR="000B2EA6">
        <w:rPr>
          <w:szCs w:val="24"/>
        </w:rPr>
        <w:t>The care of the post hospital group is typically provided in a separate section of the nursing home that resembles a mini-hospital</w:t>
      </w:r>
      <w:r>
        <w:rPr>
          <w:szCs w:val="24"/>
        </w:rPr>
        <w:t xml:space="preserve"> where </w:t>
      </w:r>
      <w:r w:rsidR="000B2EA6">
        <w:rPr>
          <w:szCs w:val="24"/>
        </w:rPr>
        <w:t xml:space="preserve">nurses typically have more specialized training, patients have more complex acuities and receive more intensive rehabilitation services.  </w:t>
      </w:r>
    </w:p>
    <w:p w:rsidR="000B2EA6" w:rsidRPr="00C67B55" w:rsidRDefault="000B2EA6" w:rsidP="00141497">
      <w:pPr>
        <w:jc w:val="both"/>
        <w:rPr>
          <w:szCs w:val="24"/>
        </w:rPr>
      </w:pPr>
      <w:r w:rsidRPr="00C67B55">
        <w:rPr>
          <w:szCs w:val="24"/>
        </w:rPr>
        <w:t>The proposed program at Tom</w:t>
      </w:r>
      <w:r w:rsidR="000E59C4">
        <w:rPr>
          <w:szCs w:val="24"/>
        </w:rPr>
        <w:t>s</w:t>
      </w:r>
      <w:r w:rsidRPr="00C67B55">
        <w:rPr>
          <w:szCs w:val="24"/>
        </w:rPr>
        <w:t xml:space="preserve"> River is designed to provide the skilled rehabilitative services that persons coming out of the hospital need.</w:t>
      </w:r>
    </w:p>
    <w:p w:rsidR="007563F7" w:rsidRDefault="004B5CDE" w:rsidP="00141497">
      <w:pPr>
        <w:jc w:val="both"/>
        <w:rPr>
          <w:szCs w:val="24"/>
        </w:rPr>
      </w:pPr>
      <w:r w:rsidRPr="000F01CD">
        <w:rPr>
          <w:b/>
          <w:szCs w:val="24"/>
        </w:rPr>
        <w:t>Figure 4</w:t>
      </w:r>
      <w:r>
        <w:rPr>
          <w:szCs w:val="24"/>
        </w:rPr>
        <w:t xml:space="preserve"> shows the top five zip codes in the country of where Medicare hospital patients come from. The data were developed by analyzing a file showing the number of Medicare patients that came from each zip code to each hospital. The file contained data on patients from approximately 39,000 zip codes. An analysis of the data showed that out of the 39,000 zip codes, two of the top five zip codes were in Ocean County.  </w:t>
      </w:r>
    </w:p>
    <w:p w:rsidR="007563F7" w:rsidRPr="00B871F3" w:rsidRDefault="00B871F3" w:rsidP="00B871F3">
      <w:pPr>
        <w:pStyle w:val="NoSpacing"/>
        <w:rPr>
          <w:b/>
          <w:sz w:val="28"/>
          <w:szCs w:val="28"/>
        </w:rPr>
      </w:pPr>
      <w:r w:rsidRPr="00B871F3">
        <w:rPr>
          <w:b/>
          <w:sz w:val="28"/>
          <w:szCs w:val="28"/>
        </w:rPr>
        <w:t xml:space="preserve">Figure </w:t>
      </w:r>
      <w:r w:rsidR="004B5CDE">
        <w:rPr>
          <w:b/>
          <w:sz w:val="28"/>
          <w:szCs w:val="28"/>
        </w:rPr>
        <w:t>4:</w:t>
      </w:r>
      <w:r w:rsidRPr="00B871F3">
        <w:rPr>
          <w:b/>
          <w:sz w:val="28"/>
          <w:szCs w:val="28"/>
        </w:rPr>
        <w:t xml:space="preserve"> Top Five Zip Codes of Medicare Hospital Patients in the United States for 2012</w:t>
      </w:r>
    </w:p>
    <w:tbl>
      <w:tblPr>
        <w:tblW w:w="8685" w:type="dxa"/>
        <w:tblInd w:w="93" w:type="dxa"/>
        <w:tblLook w:val="04A0" w:firstRow="1" w:lastRow="0" w:firstColumn="1" w:lastColumn="0" w:noHBand="0" w:noVBand="1"/>
      </w:tblPr>
      <w:tblGrid>
        <w:gridCol w:w="2625"/>
        <w:gridCol w:w="2105"/>
        <w:gridCol w:w="3955"/>
      </w:tblGrid>
      <w:tr w:rsidR="00B871F3" w:rsidRPr="00B871F3" w:rsidTr="00B871F3">
        <w:trPr>
          <w:trHeight w:val="945"/>
        </w:trPr>
        <w:tc>
          <w:tcPr>
            <w:tcW w:w="2625" w:type="dxa"/>
            <w:tcBorders>
              <w:top w:val="single" w:sz="4" w:space="0" w:color="auto"/>
              <w:left w:val="single" w:sz="4" w:space="0" w:color="auto"/>
              <w:bottom w:val="single" w:sz="4" w:space="0" w:color="auto"/>
              <w:right w:val="single" w:sz="4" w:space="0" w:color="auto"/>
            </w:tcBorders>
            <w:shd w:val="clear" w:color="000000" w:fill="17365D"/>
            <w:vAlign w:val="center"/>
            <w:hideMark/>
          </w:tcPr>
          <w:p w:rsidR="00B871F3" w:rsidRPr="00B871F3" w:rsidRDefault="00B871F3" w:rsidP="00B871F3">
            <w:pPr>
              <w:spacing w:after="0" w:line="240" w:lineRule="auto"/>
              <w:jc w:val="center"/>
              <w:rPr>
                <w:rFonts w:eastAsia="Times New Roman"/>
                <w:b/>
                <w:bCs/>
                <w:color w:val="FFFFFF"/>
                <w:sz w:val="28"/>
                <w:szCs w:val="28"/>
              </w:rPr>
            </w:pPr>
            <w:r w:rsidRPr="00B871F3">
              <w:rPr>
                <w:rFonts w:eastAsia="Times New Roman"/>
                <w:b/>
                <w:bCs/>
                <w:color w:val="FFFFFF"/>
                <w:sz w:val="28"/>
                <w:szCs w:val="28"/>
              </w:rPr>
              <w:t xml:space="preserve">Count of Medicare Discharges </w:t>
            </w:r>
          </w:p>
        </w:tc>
        <w:tc>
          <w:tcPr>
            <w:tcW w:w="2105" w:type="dxa"/>
            <w:tcBorders>
              <w:top w:val="single" w:sz="4" w:space="0" w:color="auto"/>
              <w:left w:val="nil"/>
              <w:bottom w:val="single" w:sz="4" w:space="0" w:color="auto"/>
              <w:right w:val="single" w:sz="4" w:space="0" w:color="auto"/>
            </w:tcBorders>
            <w:shd w:val="clear" w:color="000000" w:fill="17365D"/>
            <w:vAlign w:val="center"/>
            <w:hideMark/>
          </w:tcPr>
          <w:p w:rsidR="00B871F3" w:rsidRPr="00B871F3" w:rsidRDefault="00B871F3" w:rsidP="00B871F3">
            <w:pPr>
              <w:spacing w:after="0" w:line="240" w:lineRule="auto"/>
              <w:jc w:val="center"/>
              <w:rPr>
                <w:rFonts w:eastAsia="Times New Roman"/>
                <w:b/>
                <w:bCs/>
                <w:color w:val="FFFFFF"/>
                <w:sz w:val="28"/>
                <w:szCs w:val="28"/>
              </w:rPr>
            </w:pPr>
            <w:r w:rsidRPr="00B871F3">
              <w:rPr>
                <w:rFonts w:eastAsia="Times New Roman"/>
                <w:b/>
                <w:bCs/>
                <w:color w:val="FFFFFF"/>
                <w:sz w:val="28"/>
                <w:szCs w:val="28"/>
              </w:rPr>
              <w:t xml:space="preserve">Zip code of Patients  </w:t>
            </w:r>
          </w:p>
        </w:tc>
        <w:tc>
          <w:tcPr>
            <w:tcW w:w="3955" w:type="dxa"/>
            <w:tcBorders>
              <w:top w:val="single" w:sz="4" w:space="0" w:color="auto"/>
              <w:left w:val="nil"/>
              <w:bottom w:val="single" w:sz="4" w:space="0" w:color="auto"/>
              <w:right w:val="single" w:sz="4" w:space="0" w:color="auto"/>
            </w:tcBorders>
            <w:shd w:val="clear" w:color="000000" w:fill="17365D"/>
            <w:vAlign w:val="center"/>
            <w:hideMark/>
          </w:tcPr>
          <w:p w:rsidR="00B871F3" w:rsidRPr="00B871F3" w:rsidRDefault="00B871F3" w:rsidP="00B871F3">
            <w:pPr>
              <w:spacing w:after="0" w:line="240" w:lineRule="auto"/>
              <w:jc w:val="center"/>
              <w:rPr>
                <w:rFonts w:eastAsia="Times New Roman"/>
                <w:b/>
                <w:bCs/>
                <w:color w:val="FFFFFF"/>
                <w:sz w:val="28"/>
                <w:szCs w:val="28"/>
              </w:rPr>
            </w:pPr>
            <w:r w:rsidRPr="00B871F3">
              <w:rPr>
                <w:rFonts w:eastAsia="Times New Roman"/>
                <w:b/>
                <w:bCs/>
                <w:color w:val="FFFFFF"/>
                <w:sz w:val="28"/>
                <w:szCs w:val="28"/>
              </w:rPr>
              <w:t>Location of Zip Code</w:t>
            </w:r>
          </w:p>
        </w:tc>
      </w:tr>
      <w:tr w:rsidR="00B871F3" w:rsidRPr="00B871F3" w:rsidTr="00B871F3">
        <w:trPr>
          <w:trHeight w:val="31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 xml:space="preserve">7,841 </w:t>
            </w:r>
          </w:p>
        </w:tc>
        <w:tc>
          <w:tcPr>
            <w:tcW w:w="2105" w:type="dxa"/>
            <w:tcBorders>
              <w:top w:val="nil"/>
              <w:left w:val="nil"/>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Pr>
                <w:rFonts w:eastAsia="Times New Roman"/>
                <w:color w:val="000000"/>
                <w:sz w:val="28"/>
                <w:szCs w:val="28"/>
              </w:rPr>
              <w:t>0</w:t>
            </w:r>
            <w:r w:rsidRPr="00B871F3">
              <w:rPr>
                <w:rFonts w:eastAsia="Times New Roman"/>
                <w:color w:val="000000"/>
                <w:sz w:val="28"/>
                <w:szCs w:val="28"/>
              </w:rPr>
              <w:t>8759</w:t>
            </w:r>
          </w:p>
        </w:tc>
        <w:tc>
          <w:tcPr>
            <w:tcW w:w="3955" w:type="dxa"/>
            <w:tcBorders>
              <w:top w:val="nil"/>
              <w:left w:val="nil"/>
              <w:bottom w:val="single" w:sz="4" w:space="0" w:color="auto"/>
              <w:right w:val="single" w:sz="4" w:space="0" w:color="auto"/>
            </w:tcBorders>
            <w:shd w:val="clear" w:color="auto" w:fill="auto"/>
            <w:vAlign w:val="center"/>
            <w:hideMark/>
          </w:tcPr>
          <w:p w:rsidR="00B871F3" w:rsidRPr="00B871F3" w:rsidRDefault="00B871F3" w:rsidP="00B871F3">
            <w:pPr>
              <w:spacing w:after="0" w:line="240" w:lineRule="auto"/>
              <w:rPr>
                <w:rFonts w:eastAsia="Times New Roman"/>
                <w:color w:val="000000"/>
                <w:sz w:val="28"/>
                <w:szCs w:val="28"/>
              </w:rPr>
            </w:pPr>
            <w:r w:rsidRPr="00B871F3">
              <w:rPr>
                <w:rFonts w:eastAsia="Times New Roman"/>
                <w:color w:val="000000"/>
                <w:sz w:val="28"/>
                <w:szCs w:val="28"/>
              </w:rPr>
              <w:t xml:space="preserve">Manchester Township, NJ </w:t>
            </w:r>
          </w:p>
        </w:tc>
      </w:tr>
      <w:tr w:rsidR="00B871F3" w:rsidRPr="00B871F3" w:rsidTr="00B871F3">
        <w:trPr>
          <w:trHeight w:val="31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 xml:space="preserve">7,533 </w:t>
            </w:r>
          </w:p>
        </w:tc>
        <w:tc>
          <w:tcPr>
            <w:tcW w:w="2105" w:type="dxa"/>
            <w:tcBorders>
              <w:top w:val="nil"/>
              <w:left w:val="nil"/>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32162</w:t>
            </w:r>
          </w:p>
        </w:tc>
        <w:tc>
          <w:tcPr>
            <w:tcW w:w="3955" w:type="dxa"/>
            <w:tcBorders>
              <w:top w:val="nil"/>
              <w:left w:val="nil"/>
              <w:bottom w:val="single" w:sz="4" w:space="0" w:color="auto"/>
              <w:right w:val="single" w:sz="4" w:space="0" w:color="auto"/>
            </w:tcBorders>
            <w:shd w:val="clear" w:color="auto" w:fill="auto"/>
            <w:vAlign w:val="center"/>
            <w:hideMark/>
          </w:tcPr>
          <w:p w:rsidR="00B871F3" w:rsidRPr="00B871F3" w:rsidRDefault="00B871F3" w:rsidP="00B871F3">
            <w:pPr>
              <w:spacing w:after="0" w:line="240" w:lineRule="auto"/>
              <w:rPr>
                <w:rFonts w:eastAsia="Times New Roman"/>
                <w:color w:val="000000"/>
                <w:sz w:val="28"/>
                <w:szCs w:val="28"/>
              </w:rPr>
            </w:pPr>
            <w:r w:rsidRPr="00B871F3">
              <w:rPr>
                <w:rFonts w:eastAsia="Times New Roman"/>
                <w:color w:val="000000"/>
                <w:sz w:val="28"/>
                <w:szCs w:val="28"/>
              </w:rPr>
              <w:t>The Villages, FL</w:t>
            </w:r>
          </w:p>
        </w:tc>
      </w:tr>
      <w:tr w:rsidR="00B871F3" w:rsidRPr="00B871F3" w:rsidTr="00B871F3">
        <w:trPr>
          <w:trHeight w:val="31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 xml:space="preserve">6,824 </w:t>
            </w:r>
          </w:p>
        </w:tc>
        <w:tc>
          <w:tcPr>
            <w:tcW w:w="2105" w:type="dxa"/>
            <w:tcBorders>
              <w:top w:val="nil"/>
              <w:left w:val="nil"/>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Pr>
                <w:rFonts w:eastAsia="Times New Roman"/>
                <w:color w:val="000000"/>
                <w:sz w:val="28"/>
                <w:szCs w:val="28"/>
              </w:rPr>
              <w:t>0</w:t>
            </w:r>
            <w:r w:rsidRPr="00B871F3">
              <w:rPr>
                <w:rFonts w:eastAsia="Times New Roman"/>
                <w:color w:val="000000"/>
                <w:sz w:val="28"/>
                <w:szCs w:val="28"/>
              </w:rPr>
              <w:t>8757</w:t>
            </w:r>
          </w:p>
        </w:tc>
        <w:tc>
          <w:tcPr>
            <w:tcW w:w="3955" w:type="dxa"/>
            <w:tcBorders>
              <w:top w:val="nil"/>
              <w:left w:val="nil"/>
              <w:bottom w:val="single" w:sz="4" w:space="0" w:color="auto"/>
              <w:right w:val="single" w:sz="4" w:space="0" w:color="auto"/>
            </w:tcBorders>
            <w:shd w:val="clear" w:color="auto" w:fill="auto"/>
            <w:noWrap/>
            <w:vAlign w:val="bottom"/>
            <w:hideMark/>
          </w:tcPr>
          <w:p w:rsidR="00B871F3" w:rsidRPr="00B871F3" w:rsidRDefault="00B871F3" w:rsidP="00B871F3">
            <w:pPr>
              <w:spacing w:after="0" w:line="240" w:lineRule="auto"/>
              <w:rPr>
                <w:rFonts w:eastAsia="Times New Roman"/>
                <w:color w:val="000000"/>
                <w:sz w:val="28"/>
                <w:szCs w:val="28"/>
              </w:rPr>
            </w:pPr>
            <w:r w:rsidRPr="00B871F3">
              <w:rPr>
                <w:rFonts w:eastAsia="Times New Roman"/>
                <w:color w:val="000000"/>
                <w:sz w:val="28"/>
                <w:szCs w:val="28"/>
              </w:rPr>
              <w:t>Berkeley Township, NJ</w:t>
            </w:r>
          </w:p>
        </w:tc>
      </w:tr>
      <w:tr w:rsidR="00B871F3" w:rsidRPr="00B871F3" w:rsidTr="00B871F3">
        <w:trPr>
          <w:trHeight w:val="31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 xml:space="preserve">6,471 </w:t>
            </w:r>
          </w:p>
        </w:tc>
        <w:tc>
          <w:tcPr>
            <w:tcW w:w="2105" w:type="dxa"/>
            <w:tcBorders>
              <w:top w:val="nil"/>
              <w:left w:val="nil"/>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85351</w:t>
            </w:r>
          </w:p>
        </w:tc>
        <w:tc>
          <w:tcPr>
            <w:tcW w:w="3955" w:type="dxa"/>
            <w:tcBorders>
              <w:top w:val="nil"/>
              <w:left w:val="nil"/>
              <w:bottom w:val="single" w:sz="4" w:space="0" w:color="auto"/>
              <w:right w:val="single" w:sz="4" w:space="0" w:color="auto"/>
            </w:tcBorders>
            <w:shd w:val="clear" w:color="auto" w:fill="auto"/>
            <w:vAlign w:val="center"/>
            <w:hideMark/>
          </w:tcPr>
          <w:p w:rsidR="00B871F3" w:rsidRPr="00B871F3" w:rsidRDefault="00B871F3" w:rsidP="00B871F3">
            <w:pPr>
              <w:spacing w:after="0" w:line="240" w:lineRule="auto"/>
              <w:rPr>
                <w:rFonts w:eastAsia="Times New Roman"/>
                <w:color w:val="000000"/>
                <w:sz w:val="28"/>
                <w:szCs w:val="28"/>
              </w:rPr>
            </w:pPr>
            <w:r w:rsidRPr="00B871F3">
              <w:rPr>
                <w:rFonts w:eastAsia="Times New Roman"/>
                <w:color w:val="000000"/>
                <w:sz w:val="28"/>
                <w:szCs w:val="28"/>
              </w:rPr>
              <w:t>Sun  City, AZ</w:t>
            </w:r>
          </w:p>
        </w:tc>
      </w:tr>
      <w:tr w:rsidR="00B871F3" w:rsidRPr="00B871F3" w:rsidTr="00B871F3">
        <w:trPr>
          <w:trHeight w:val="31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 xml:space="preserve">6,301 </w:t>
            </w:r>
          </w:p>
        </w:tc>
        <w:tc>
          <w:tcPr>
            <w:tcW w:w="2105" w:type="dxa"/>
            <w:tcBorders>
              <w:top w:val="nil"/>
              <w:left w:val="nil"/>
              <w:bottom w:val="single" w:sz="4" w:space="0" w:color="auto"/>
              <w:right w:val="single" w:sz="4" w:space="0" w:color="auto"/>
            </w:tcBorders>
            <w:shd w:val="clear" w:color="auto" w:fill="auto"/>
            <w:noWrap/>
            <w:vAlign w:val="center"/>
            <w:hideMark/>
          </w:tcPr>
          <w:p w:rsidR="00B871F3" w:rsidRPr="00B871F3" w:rsidRDefault="00B871F3" w:rsidP="00B871F3">
            <w:pPr>
              <w:spacing w:after="0" w:line="240" w:lineRule="auto"/>
              <w:jc w:val="center"/>
              <w:rPr>
                <w:rFonts w:eastAsia="Times New Roman"/>
                <w:color w:val="000000"/>
                <w:sz w:val="28"/>
                <w:szCs w:val="28"/>
              </w:rPr>
            </w:pPr>
            <w:r w:rsidRPr="00B871F3">
              <w:rPr>
                <w:rFonts w:eastAsia="Times New Roman"/>
                <w:color w:val="000000"/>
                <w:sz w:val="28"/>
                <w:szCs w:val="28"/>
              </w:rPr>
              <w:t>11235</w:t>
            </w:r>
          </w:p>
        </w:tc>
        <w:tc>
          <w:tcPr>
            <w:tcW w:w="3955" w:type="dxa"/>
            <w:tcBorders>
              <w:top w:val="nil"/>
              <w:left w:val="nil"/>
              <w:bottom w:val="single" w:sz="4" w:space="0" w:color="auto"/>
              <w:right w:val="single" w:sz="4" w:space="0" w:color="auto"/>
            </w:tcBorders>
            <w:shd w:val="clear" w:color="auto" w:fill="auto"/>
            <w:vAlign w:val="center"/>
            <w:hideMark/>
          </w:tcPr>
          <w:p w:rsidR="00B871F3" w:rsidRPr="00B871F3" w:rsidRDefault="00B871F3" w:rsidP="00B871F3">
            <w:pPr>
              <w:spacing w:after="0" w:line="240" w:lineRule="auto"/>
              <w:rPr>
                <w:rFonts w:eastAsia="Times New Roman"/>
                <w:color w:val="000000"/>
                <w:sz w:val="28"/>
                <w:szCs w:val="28"/>
              </w:rPr>
            </w:pPr>
            <w:r w:rsidRPr="00B871F3">
              <w:rPr>
                <w:rFonts w:eastAsia="Times New Roman"/>
                <w:color w:val="000000"/>
                <w:sz w:val="28"/>
                <w:szCs w:val="28"/>
              </w:rPr>
              <w:t>Brooklyn, NY</w:t>
            </w:r>
          </w:p>
        </w:tc>
      </w:tr>
    </w:tbl>
    <w:p w:rsidR="007563F7" w:rsidRDefault="00B871F3" w:rsidP="005B6449">
      <w:pPr>
        <w:pStyle w:val="NoSpacing"/>
      </w:pPr>
      <w:r w:rsidRPr="00B871F3">
        <w:rPr>
          <w:b/>
        </w:rPr>
        <w:t>Data:</w:t>
      </w:r>
      <w:r>
        <w:t xml:space="preserve"> Center</w:t>
      </w:r>
      <w:r w:rsidR="009711A9">
        <w:t>s</w:t>
      </w:r>
      <w:r>
        <w:t xml:space="preserve"> for Medicare and Medicaid Services, Hospital Service Area File.</w:t>
      </w:r>
    </w:p>
    <w:p w:rsidR="005B6449" w:rsidRDefault="00DF494D" w:rsidP="005B6449">
      <w:pPr>
        <w:pStyle w:val="NoSpacing"/>
      </w:pPr>
      <w:hyperlink r:id="rId13" w:history="1">
        <w:r w:rsidR="005B6449" w:rsidRPr="001A3E2E">
          <w:rPr>
            <w:rStyle w:val="Hyperlink"/>
          </w:rPr>
          <w:t>http://www.cms.gov/Research-Statistics-Data-and-Systems/Files-for-Order/NonIdentifiableDataFiles/HospitalServiceAreaFile.html</w:t>
        </w:r>
      </w:hyperlink>
    </w:p>
    <w:p w:rsidR="005B6449" w:rsidRDefault="005B6449" w:rsidP="005B6449">
      <w:pPr>
        <w:pStyle w:val="NoSpacing"/>
        <w:rPr>
          <w:szCs w:val="24"/>
        </w:rPr>
      </w:pPr>
    </w:p>
    <w:p w:rsidR="007563F7" w:rsidRDefault="001C2B71" w:rsidP="00141497">
      <w:pPr>
        <w:jc w:val="both"/>
        <w:rPr>
          <w:szCs w:val="24"/>
        </w:rPr>
      </w:pPr>
      <w:r w:rsidRPr="001C2B71">
        <w:rPr>
          <w:b/>
          <w:szCs w:val="24"/>
        </w:rPr>
        <w:t>Figure 5</w:t>
      </w:r>
      <w:r>
        <w:rPr>
          <w:szCs w:val="24"/>
        </w:rPr>
        <w:t xml:space="preserve"> shows a map of Medicare discharges by zip code and it can be seen that Medicare hospital </w:t>
      </w:r>
      <w:r w:rsidR="00442B24">
        <w:rPr>
          <w:szCs w:val="24"/>
        </w:rPr>
        <w:t>users not</w:t>
      </w:r>
      <w:r>
        <w:rPr>
          <w:szCs w:val="24"/>
        </w:rPr>
        <w:t xml:space="preserve"> </w:t>
      </w:r>
      <w:r w:rsidR="00C67B55">
        <w:rPr>
          <w:szCs w:val="24"/>
        </w:rPr>
        <w:t xml:space="preserve">only </w:t>
      </w:r>
      <w:r>
        <w:rPr>
          <w:szCs w:val="24"/>
        </w:rPr>
        <w:t>come from Manchester and Berkeley Townships but also come in large numbers from other parts of Ocean County. These data show that the Ocean County area has an exceptionally heavy concentration of Medicare hospital utilization.</w:t>
      </w:r>
    </w:p>
    <w:p w:rsidR="006E0DBE" w:rsidRDefault="006E0DBE" w:rsidP="00C6662E">
      <w:pPr>
        <w:pStyle w:val="NoSpacing"/>
        <w:rPr>
          <w:b/>
          <w:sz w:val="28"/>
          <w:szCs w:val="28"/>
        </w:rPr>
      </w:pPr>
    </w:p>
    <w:p w:rsidR="006E0DBE" w:rsidRDefault="006E0DBE" w:rsidP="00C6662E">
      <w:pPr>
        <w:pStyle w:val="NoSpacing"/>
        <w:rPr>
          <w:b/>
          <w:sz w:val="28"/>
          <w:szCs w:val="28"/>
        </w:rPr>
      </w:pPr>
    </w:p>
    <w:p w:rsidR="005571A2" w:rsidRPr="00C6662E" w:rsidRDefault="00F13D0C" w:rsidP="00C6662E">
      <w:pPr>
        <w:pStyle w:val="NoSpacing"/>
        <w:rPr>
          <w:b/>
          <w:sz w:val="28"/>
          <w:szCs w:val="28"/>
        </w:rPr>
      </w:pPr>
      <w:r>
        <w:rPr>
          <w:b/>
          <w:sz w:val="28"/>
          <w:szCs w:val="28"/>
        </w:rPr>
        <w:lastRenderedPageBreak/>
        <w:t>F</w:t>
      </w:r>
      <w:r w:rsidR="00B871F3" w:rsidRPr="00C6662E">
        <w:rPr>
          <w:b/>
          <w:sz w:val="28"/>
          <w:szCs w:val="28"/>
        </w:rPr>
        <w:t>igure</w:t>
      </w:r>
      <w:r w:rsidR="00C6662E" w:rsidRPr="00C6662E">
        <w:rPr>
          <w:b/>
          <w:sz w:val="28"/>
          <w:szCs w:val="28"/>
        </w:rPr>
        <w:t xml:space="preserve"> </w:t>
      </w:r>
      <w:r w:rsidR="001C2B71">
        <w:rPr>
          <w:b/>
          <w:sz w:val="28"/>
          <w:szCs w:val="28"/>
        </w:rPr>
        <w:t>5</w:t>
      </w:r>
      <w:r w:rsidR="00C6662E" w:rsidRPr="00C6662E">
        <w:rPr>
          <w:b/>
          <w:sz w:val="28"/>
          <w:szCs w:val="28"/>
        </w:rPr>
        <w:t>:</w:t>
      </w:r>
      <w:r w:rsidR="00C6662E">
        <w:rPr>
          <w:b/>
          <w:sz w:val="28"/>
          <w:szCs w:val="28"/>
        </w:rPr>
        <w:t xml:space="preserve"> </w:t>
      </w:r>
      <w:r w:rsidR="00C6662E" w:rsidRPr="00C6662E">
        <w:rPr>
          <w:b/>
          <w:sz w:val="28"/>
          <w:szCs w:val="28"/>
        </w:rPr>
        <w:t>Map of Ocean County Area showing Home Zip Code of Medicare Patients Discharged from a Hospital, 2012</w:t>
      </w:r>
    </w:p>
    <w:p w:rsidR="005571A2" w:rsidRDefault="005571A2" w:rsidP="00C6662E">
      <w:pPr>
        <w:pStyle w:val="NoSpacing"/>
      </w:pPr>
      <w:r>
        <w:rPr>
          <w:noProof/>
        </w:rPr>
        <w:drawing>
          <wp:inline distT="0" distB="0" distL="0" distR="0" wp14:anchorId="4B558F1E" wp14:editId="2C604632">
            <wp:extent cx="5943600" cy="4506799"/>
            <wp:effectExtent l="0" t="0" r="0" b="8255"/>
            <wp:docPr id="3" name="Picture 3" descr="C:\Users\Cissyleslie\Documents\William Burris\Toms River\Ocean County 2012 Medicare discharges by zip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ssyleslie\Documents\William Burris\Toms River\Ocean County 2012 Medicare discharges by zip c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06799"/>
                    </a:xfrm>
                    <a:prstGeom prst="rect">
                      <a:avLst/>
                    </a:prstGeom>
                    <a:noFill/>
                    <a:ln>
                      <a:noFill/>
                    </a:ln>
                  </pic:spPr>
                </pic:pic>
              </a:graphicData>
            </a:graphic>
          </wp:inline>
        </w:drawing>
      </w:r>
    </w:p>
    <w:p w:rsidR="00C6662E" w:rsidRDefault="00C6662E" w:rsidP="00C6662E">
      <w:pPr>
        <w:pStyle w:val="NoSpacing"/>
      </w:pPr>
      <w:r w:rsidRPr="00B871F3">
        <w:rPr>
          <w:b/>
        </w:rPr>
        <w:t>Data:</w:t>
      </w:r>
      <w:r>
        <w:t xml:space="preserve"> Center for Medicare and Medicaid Services, Hospital Service Area File.</w:t>
      </w:r>
    </w:p>
    <w:p w:rsidR="005B6449" w:rsidRDefault="00DF494D" w:rsidP="005B6449">
      <w:pPr>
        <w:pStyle w:val="NoSpacing"/>
      </w:pPr>
      <w:hyperlink r:id="rId15" w:history="1">
        <w:r w:rsidR="005B6449" w:rsidRPr="001A3E2E">
          <w:rPr>
            <w:rStyle w:val="Hyperlink"/>
          </w:rPr>
          <w:t>http://www.cms.gov/Research-Statistics-Data-and-Systems/Files-for-Order/NonIdentifiableDataFiles/HospitalServiceAreaFile.html</w:t>
        </w:r>
      </w:hyperlink>
    </w:p>
    <w:p w:rsidR="005571A2" w:rsidRDefault="005571A2">
      <w:pPr>
        <w:rPr>
          <w:szCs w:val="24"/>
        </w:rPr>
      </w:pPr>
    </w:p>
    <w:p w:rsidR="000B2EA6" w:rsidRDefault="000B2EA6" w:rsidP="009F0E49">
      <w:pPr>
        <w:jc w:val="both"/>
        <w:rPr>
          <w:szCs w:val="24"/>
        </w:rPr>
      </w:pPr>
      <w:r>
        <w:rPr>
          <w:szCs w:val="24"/>
        </w:rPr>
        <w:t xml:space="preserve">Utilization in American nursing facilities has been characterized </w:t>
      </w:r>
      <w:r w:rsidR="006E0DBE">
        <w:rPr>
          <w:szCs w:val="24"/>
        </w:rPr>
        <w:t xml:space="preserve">since 1997 </w:t>
      </w:r>
      <w:r w:rsidR="009E1AC3">
        <w:rPr>
          <w:szCs w:val="24"/>
        </w:rPr>
        <w:t xml:space="preserve">by a gradual, but continued decline in the custodial population because of the increasing availability of alternatives such as the use of assisted living </w:t>
      </w:r>
      <w:r w:rsidR="006E0DBE">
        <w:rPr>
          <w:szCs w:val="24"/>
        </w:rPr>
        <w:t xml:space="preserve">and in-home services, </w:t>
      </w:r>
      <w:r w:rsidR="009E1AC3">
        <w:rPr>
          <w:szCs w:val="24"/>
        </w:rPr>
        <w:t xml:space="preserve">improvement of health in older populations, </w:t>
      </w:r>
      <w:r w:rsidR="00EE46C4">
        <w:rPr>
          <w:szCs w:val="24"/>
        </w:rPr>
        <w:t xml:space="preserve">low Medicaid reimbursement, </w:t>
      </w:r>
      <w:r w:rsidR="009E1AC3">
        <w:rPr>
          <w:szCs w:val="24"/>
        </w:rPr>
        <w:t xml:space="preserve">and continued Federal policy efforts to provide Medicaid services outside of institutions.  </w:t>
      </w:r>
      <w:r w:rsidR="00EE46C4">
        <w:rPr>
          <w:szCs w:val="24"/>
        </w:rPr>
        <w:t xml:space="preserve">These national factors have created declines in all states. </w:t>
      </w:r>
      <w:r w:rsidR="009E1AC3">
        <w:rPr>
          <w:szCs w:val="24"/>
        </w:rPr>
        <w:t xml:space="preserve">At the same time Medicare utilization has gradually increased. </w:t>
      </w:r>
      <w:r>
        <w:rPr>
          <w:szCs w:val="24"/>
        </w:rPr>
        <w:t xml:space="preserve"> </w:t>
      </w:r>
    </w:p>
    <w:p w:rsidR="005571A2" w:rsidRDefault="009E1AC3" w:rsidP="009F0E49">
      <w:pPr>
        <w:jc w:val="both"/>
        <w:rPr>
          <w:szCs w:val="24"/>
        </w:rPr>
      </w:pPr>
      <w:r w:rsidRPr="007E00D3">
        <w:rPr>
          <w:b/>
          <w:szCs w:val="24"/>
        </w:rPr>
        <w:t>Figure 6</w:t>
      </w:r>
      <w:r>
        <w:rPr>
          <w:szCs w:val="24"/>
        </w:rPr>
        <w:t xml:space="preserve"> shows the growth in Medicare utilization</w:t>
      </w:r>
      <w:r w:rsidR="007E00D3">
        <w:rPr>
          <w:szCs w:val="24"/>
        </w:rPr>
        <w:t xml:space="preserve"> in the United States and in New Jersey.</w:t>
      </w:r>
    </w:p>
    <w:p w:rsidR="00F13D0C" w:rsidRDefault="00F13D0C" w:rsidP="009F0E49">
      <w:pPr>
        <w:jc w:val="both"/>
        <w:rPr>
          <w:szCs w:val="24"/>
        </w:rPr>
      </w:pPr>
    </w:p>
    <w:p w:rsidR="00F13D0C" w:rsidRPr="009711A9" w:rsidRDefault="009711A9" w:rsidP="009711A9">
      <w:pPr>
        <w:pStyle w:val="NoSpacing"/>
        <w:rPr>
          <w:b/>
          <w:sz w:val="28"/>
          <w:szCs w:val="28"/>
        </w:rPr>
      </w:pPr>
      <w:r w:rsidRPr="009711A9">
        <w:rPr>
          <w:b/>
          <w:sz w:val="28"/>
          <w:szCs w:val="28"/>
        </w:rPr>
        <w:lastRenderedPageBreak/>
        <w:t xml:space="preserve">Figure </w:t>
      </w:r>
      <w:r w:rsidR="001C2B71">
        <w:rPr>
          <w:b/>
          <w:sz w:val="28"/>
          <w:szCs w:val="28"/>
        </w:rPr>
        <w:t>6</w:t>
      </w:r>
      <w:r w:rsidRPr="009711A9">
        <w:rPr>
          <w:b/>
          <w:sz w:val="28"/>
          <w:szCs w:val="28"/>
        </w:rPr>
        <w:t xml:space="preserve">: </w:t>
      </w:r>
      <w:r>
        <w:rPr>
          <w:b/>
          <w:sz w:val="28"/>
          <w:szCs w:val="28"/>
        </w:rPr>
        <w:t xml:space="preserve">% </w:t>
      </w:r>
      <w:r w:rsidRPr="009711A9">
        <w:rPr>
          <w:b/>
          <w:sz w:val="28"/>
          <w:szCs w:val="28"/>
        </w:rPr>
        <w:t>Growth in Medicare Use of Nursing Homes United States and New Jersey, 2001-2013</w:t>
      </w:r>
    </w:p>
    <w:p w:rsidR="0082366F" w:rsidRDefault="006B2A5A" w:rsidP="009711A9">
      <w:pPr>
        <w:pStyle w:val="NoSpacing"/>
        <w:rPr>
          <w:szCs w:val="24"/>
        </w:rPr>
      </w:pPr>
      <w:r>
        <w:rPr>
          <w:noProof/>
        </w:rPr>
        <w:drawing>
          <wp:inline distT="0" distB="0" distL="0" distR="0" wp14:anchorId="0B719535" wp14:editId="03BC6DC8">
            <wp:extent cx="5905500" cy="40671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366F" w:rsidRPr="009711A9" w:rsidRDefault="009711A9" w:rsidP="009711A9">
      <w:pPr>
        <w:pStyle w:val="NoSpacing"/>
        <w:rPr>
          <w:b/>
          <w:szCs w:val="24"/>
        </w:rPr>
      </w:pPr>
      <w:r w:rsidRPr="009711A9">
        <w:rPr>
          <w:b/>
          <w:szCs w:val="24"/>
        </w:rPr>
        <w:t>Data:</w:t>
      </w:r>
      <w:r w:rsidRPr="009711A9">
        <w:rPr>
          <w:szCs w:val="24"/>
        </w:rPr>
        <w:t xml:space="preserve"> Centers for Medicare and Medicaid Services</w:t>
      </w:r>
      <w:r>
        <w:rPr>
          <w:szCs w:val="24"/>
        </w:rPr>
        <w:t xml:space="preserve">, </w:t>
      </w:r>
      <w:r w:rsidRPr="009711A9">
        <w:rPr>
          <w:rStyle w:val="Emphasis"/>
          <w:b w:val="0"/>
          <w:color w:val="222222"/>
          <w:lang w:val="en"/>
        </w:rPr>
        <w:t>Online Survey, Certification and Reporting</w:t>
      </w:r>
      <w:r>
        <w:rPr>
          <w:rStyle w:val="Emphasis"/>
          <w:b w:val="0"/>
          <w:color w:val="222222"/>
          <w:lang w:val="en"/>
        </w:rPr>
        <w:t xml:space="preserve"> file</w:t>
      </w:r>
      <w:r w:rsidRPr="009711A9">
        <w:rPr>
          <w:b/>
          <w:szCs w:val="24"/>
        </w:rPr>
        <w:t>.</w:t>
      </w:r>
      <w:r w:rsidR="006D7058">
        <w:rPr>
          <w:b/>
          <w:szCs w:val="24"/>
        </w:rPr>
        <w:t xml:space="preserve"> </w:t>
      </w:r>
      <w:r w:rsidR="006D7058" w:rsidRPr="006D7058">
        <w:rPr>
          <w:szCs w:val="24"/>
        </w:rPr>
        <w:t>http://www.ahcancal.org/research_data/oscar_data/Pages/default.aspx</w:t>
      </w:r>
    </w:p>
    <w:p w:rsidR="001A3A82" w:rsidRPr="00D508E0" w:rsidRDefault="001A3A82" w:rsidP="001A3A82">
      <w:pPr>
        <w:pStyle w:val="NoSpacing"/>
        <w:rPr>
          <w:szCs w:val="24"/>
        </w:rPr>
      </w:pPr>
    </w:p>
    <w:p w:rsidR="0082366F" w:rsidRDefault="007E00D3" w:rsidP="009F0E49">
      <w:pPr>
        <w:jc w:val="both"/>
        <w:rPr>
          <w:szCs w:val="24"/>
        </w:rPr>
      </w:pPr>
      <w:r>
        <w:rPr>
          <w:szCs w:val="24"/>
        </w:rPr>
        <w:t xml:space="preserve">The state of New Jersey does not track the number of its beds that nursing homes use for the skilled services and the number used for custodial services. The beds used to provide these services are not readily interchangeable. As noted before, the skilled beds are usually in </w:t>
      </w:r>
      <w:r w:rsidR="00BC0318">
        <w:rPr>
          <w:szCs w:val="24"/>
        </w:rPr>
        <w:t xml:space="preserve">small, </w:t>
      </w:r>
      <w:r>
        <w:rPr>
          <w:szCs w:val="24"/>
        </w:rPr>
        <w:t xml:space="preserve">separate units, </w:t>
      </w:r>
      <w:r w:rsidR="00BC0318">
        <w:rPr>
          <w:szCs w:val="24"/>
        </w:rPr>
        <w:t xml:space="preserve">that </w:t>
      </w:r>
      <w:r>
        <w:rPr>
          <w:szCs w:val="24"/>
        </w:rPr>
        <w:t>require more skilled nursing and rehabilitative staff</w:t>
      </w:r>
      <w:r w:rsidR="00BC0318">
        <w:rPr>
          <w:szCs w:val="24"/>
        </w:rPr>
        <w:t>,</w:t>
      </w:r>
      <w:r>
        <w:rPr>
          <w:szCs w:val="24"/>
        </w:rPr>
        <w:t xml:space="preserve"> and have higher staff levels. </w:t>
      </w:r>
    </w:p>
    <w:p w:rsidR="002D2A92" w:rsidRDefault="002D2A92" w:rsidP="009F0E49">
      <w:pPr>
        <w:jc w:val="both"/>
        <w:rPr>
          <w:szCs w:val="24"/>
        </w:rPr>
      </w:pPr>
      <w:r>
        <w:rPr>
          <w:szCs w:val="24"/>
        </w:rPr>
        <w:t>For example, a nursing home with a skilled unit might negotiate with a cardiology practice at a local hospital to provide particular protocols of cardiology post-operative care to the patients that the cardiologists discharge from the hospital. The nursing home benefits by obtaining the referrals from the cardiology practice and the cardiologists benefit by ensuring their patients get optimal post-operative care.</w:t>
      </w:r>
    </w:p>
    <w:p w:rsidR="00BC0318" w:rsidRDefault="007E00D3" w:rsidP="009F0E49">
      <w:pPr>
        <w:jc w:val="both"/>
        <w:rPr>
          <w:szCs w:val="24"/>
        </w:rPr>
      </w:pPr>
      <w:r>
        <w:rPr>
          <w:szCs w:val="24"/>
        </w:rPr>
        <w:t xml:space="preserve">In New Jersey as well as other states, nursing home operators have been opening or expanding skilled units to accommodate the increased demand for such services. The proposed Toms River </w:t>
      </w:r>
      <w:r>
        <w:rPr>
          <w:szCs w:val="24"/>
        </w:rPr>
        <w:lastRenderedPageBreak/>
        <w:t>project is inte</w:t>
      </w:r>
      <w:r w:rsidR="00BC0318">
        <w:rPr>
          <w:szCs w:val="24"/>
        </w:rPr>
        <w:t xml:space="preserve">nded to meet the demand for the skilled services needed by persons discharged from hospitals. </w:t>
      </w:r>
      <w:r w:rsidR="00BC0318" w:rsidRPr="00682147">
        <w:rPr>
          <w:b/>
          <w:szCs w:val="24"/>
        </w:rPr>
        <w:t>The Toms River program will not provide custodial services and will not compete with existing nursing homes that provide custodial services.</w:t>
      </w:r>
      <w:r w:rsidR="00BC0318">
        <w:rPr>
          <w:szCs w:val="24"/>
        </w:rPr>
        <w:t xml:space="preserve"> </w:t>
      </w:r>
    </w:p>
    <w:p w:rsidR="0082366F" w:rsidRDefault="007E00D3" w:rsidP="009F0E49">
      <w:pPr>
        <w:jc w:val="both"/>
        <w:rPr>
          <w:szCs w:val="24"/>
        </w:rPr>
      </w:pPr>
      <w:r w:rsidRPr="007E00D3">
        <w:rPr>
          <w:b/>
          <w:szCs w:val="24"/>
        </w:rPr>
        <w:t>Figure 7</w:t>
      </w:r>
      <w:r>
        <w:rPr>
          <w:szCs w:val="24"/>
        </w:rPr>
        <w:t xml:space="preserve"> shows that monthly Medicare utilization in New Jersey has increased from 5,000 plus persons a month in 2001 to 8,000 plus persons a month in 2013.</w:t>
      </w:r>
    </w:p>
    <w:p w:rsidR="009711A9" w:rsidRDefault="009711A9" w:rsidP="009711A9">
      <w:pPr>
        <w:pStyle w:val="NoSpacing"/>
        <w:rPr>
          <w:b/>
          <w:sz w:val="28"/>
          <w:szCs w:val="28"/>
        </w:rPr>
      </w:pPr>
      <w:r w:rsidRPr="009711A9">
        <w:rPr>
          <w:b/>
          <w:sz w:val="28"/>
          <w:szCs w:val="28"/>
        </w:rPr>
        <w:t xml:space="preserve">Figure </w:t>
      </w:r>
      <w:r w:rsidR="001C2B71">
        <w:rPr>
          <w:b/>
          <w:sz w:val="28"/>
          <w:szCs w:val="28"/>
        </w:rPr>
        <w:t>7</w:t>
      </w:r>
      <w:r w:rsidRPr="009711A9">
        <w:rPr>
          <w:b/>
          <w:sz w:val="28"/>
          <w:szCs w:val="28"/>
        </w:rPr>
        <w:t xml:space="preserve">: </w:t>
      </w:r>
      <w:r>
        <w:rPr>
          <w:b/>
          <w:sz w:val="28"/>
          <w:szCs w:val="28"/>
        </w:rPr>
        <w:t xml:space="preserve">Number of Persons using </w:t>
      </w:r>
      <w:r w:rsidRPr="009711A9">
        <w:rPr>
          <w:b/>
          <w:sz w:val="28"/>
          <w:szCs w:val="28"/>
        </w:rPr>
        <w:t xml:space="preserve">Medicare </w:t>
      </w:r>
      <w:r>
        <w:rPr>
          <w:b/>
          <w:sz w:val="28"/>
          <w:szCs w:val="28"/>
        </w:rPr>
        <w:t xml:space="preserve">in </w:t>
      </w:r>
      <w:r w:rsidRPr="009711A9">
        <w:rPr>
          <w:b/>
          <w:sz w:val="28"/>
          <w:szCs w:val="28"/>
        </w:rPr>
        <w:t>New Jersey Nursing Homes, 2001-201</w:t>
      </w:r>
      <w:r w:rsidR="00590CF5">
        <w:rPr>
          <w:b/>
          <w:sz w:val="28"/>
          <w:szCs w:val="28"/>
        </w:rPr>
        <w:t>4</w:t>
      </w:r>
    </w:p>
    <w:p w:rsidR="001A3A82" w:rsidRDefault="00F11B8C" w:rsidP="009711A9">
      <w:pPr>
        <w:pStyle w:val="NoSpacing"/>
        <w:rPr>
          <w:b/>
          <w:sz w:val="28"/>
          <w:szCs w:val="28"/>
        </w:rPr>
      </w:pPr>
      <w:r>
        <w:rPr>
          <w:noProof/>
        </w:rPr>
        <w:drawing>
          <wp:inline distT="0" distB="0" distL="0" distR="0" wp14:anchorId="66B68761" wp14:editId="2813DFE2">
            <wp:extent cx="5909733" cy="3318933"/>
            <wp:effectExtent l="0" t="0" r="152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3A82" w:rsidRDefault="001A3A82" w:rsidP="001A3A82">
      <w:pPr>
        <w:pStyle w:val="NoSpacing"/>
        <w:rPr>
          <w:szCs w:val="24"/>
        </w:rPr>
      </w:pPr>
      <w:r w:rsidRPr="009711A9">
        <w:rPr>
          <w:b/>
          <w:szCs w:val="24"/>
        </w:rPr>
        <w:t>Data:</w:t>
      </w:r>
      <w:r w:rsidRPr="009711A9">
        <w:rPr>
          <w:szCs w:val="24"/>
        </w:rPr>
        <w:t xml:space="preserve"> Centers for Medicare and Medicaid Services</w:t>
      </w:r>
      <w:r>
        <w:rPr>
          <w:szCs w:val="24"/>
        </w:rPr>
        <w:t xml:space="preserve">, </w:t>
      </w:r>
      <w:r w:rsidRPr="009711A9">
        <w:rPr>
          <w:rStyle w:val="Emphasis"/>
          <w:b w:val="0"/>
          <w:color w:val="222222"/>
          <w:lang w:val="en"/>
        </w:rPr>
        <w:t>Online Survey, Certification and Reporting</w:t>
      </w:r>
      <w:r>
        <w:rPr>
          <w:rStyle w:val="Emphasis"/>
          <w:b w:val="0"/>
          <w:color w:val="222222"/>
          <w:lang w:val="en"/>
        </w:rPr>
        <w:t xml:space="preserve"> file</w:t>
      </w:r>
      <w:r w:rsidRPr="009711A9">
        <w:rPr>
          <w:b/>
          <w:szCs w:val="24"/>
        </w:rPr>
        <w:t>.</w:t>
      </w:r>
      <w:r>
        <w:rPr>
          <w:b/>
          <w:szCs w:val="24"/>
        </w:rPr>
        <w:t xml:space="preserve"> </w:t>
      </w:r>
      <w:hyperlink r:id="rId18" w:history="1">
        <w:r w:rsidRPr="00F0662C">
          <w:rPr>
            <w:rStyle w:val="Hyperlink"/>
            <w:szCs w:val="24"/>
          </w:rPr>
          <w:t>http://www.ahcancal.org/research_data/oscar_data/Pages/default.aspx</w:t>
        </w:r>
      </w:hyperlink>
    </w:p>
    <w:p w:rsidR="009711A9" w:rsidRPr="00D508E0" w:rsidRDefault="00D508E0" w:rsidP="009711A9">
      <w:pPr>
        <w:pStyle w:val="NoSpacing"/>
        <w:rPr>
          <w:szCs w:val="24"/>
        </w:rPr>
      </w:pPr>
      <w:r>
        <w:rPr>
          <w:b/>
          <w:szCs w:val="24"/>
        </w:rPr>
        <w:t xml:space="preserve">Note: </w:t>
      </w:r>
      <w:r w:rsidRPr="00D508E0">
        <w:rPr>
          <w:szCs w:val="24"/>
        </w:rPr>
        <w:t xml:space="preserve">Persons </w:t>
      </w:r>
      <w:r>
        <w:rPr>
          <w:szCs w:val="24"/>
        </w:rPr>
        <w:t>whose nursing home use is</w:t>
      </w:r>
      <w:r w:rsidRPr="00D508E0">
        <w:rPr>
          <w:szCs w:val="24"/>
        </w:rPr>
        <w:t xml:space="preserve"> paid by Medicare</w:t>
      </w:r>
    </w:p>
    <w:p w:rsidR="00F13D0C" w:rsidRPr="00D508E0" w:rsidRDefault="00F13D0C">
      <w:pPr>
        <w:rPr>
          <w:szCs w:val="24"/>
        </w:rPr>
      </w:pPr>
    </w:p>
    <w:p w:rsidR="00F13D0C" w:rsidRDefault="007E00D3" w:rsidP="009F0E49">
      <w:pPr>
        <w:jc w:val="both"/>
        <w:rPr>
          <w:szCs w:val="24"/>
        </w:rPr>
      </w:pPr>
      <w:r w:rsidRPr="00BC0318">
        <w:rPr>
          <w:b/>
          <w:szCs w:val="24"/>
        </w:rPr>
        <w:t>Figure 8</w:t>
      </w:r>
      <w:r>
        <w:rPr>
          <w:szCs w:val="24"/>
        </w:rPr>
        <w:t xml:space="preserve"> shows </w:t>
      </w:r>
      <w:r w:rsidR="00BC0318">
        <w:rPr>
          <w:szCs w:val="24"/>
        </w:rPr>
        <w:t>the decline in the number of non-Medicare persons in New Jersey nursing homes from over 39,500 in 2001 to 37,000 plus in 2013. This decline has created vacancy problems in homes with sizeable numbers of custodial beds.  As noted above, the program in Toms River is intended to provide skilled services, not custodial services</w:t>
      </w:r>
      <w:r w:rsidR="00682147">
        <w:rPr>
          <w:szCs w:val="24"/>
        </w:rPr>
        <w:t>,</w:t>
      </w:r>
      <w:r w:rsidR="00BC0318">
        <w:rPr>
          <w:szCs w:val="24"/>
        </w:rPr>
        <w:t xml:space="preserve"> and will neither increase nor decrease the occupancy rate of custodial beds.   </w:t>
      </w:r>
    </w:p>
    <w:p w:rsidR="00F11B8C" w:rsidRDefault="00F11B8C" w:rsidP="00D508E0">
      <w:pPr>
        <w:pStyle w:val="NoSpacing"/>
        <w:rPr>
          <w:b/>
          <w:sz w:val="28"/>
          <w:szCs w:val="28"/>
        </w:rPr>
      </w:pPr>
    </w:p>
    <w:p w:rsidR="00F11B8C" w:rsidRDefault="00F11B8C" w:rsidP="00D508E0">
      <w:pPr>
        <w:pStyle w:val="NoSpacing"/>
        <w:rPr>
          <w:b/>
          <w:sz w:val="28"/>
          <w:szCs w:val="28"/>
        </w:rPr>
      </w:pPr>
    </w:p>
    <w:p w:rsidR="00D508E0" w:rsidRDefault="00D508E0" w:rsidP="00D508E0">
      <w:pPr>
        <w:pStyle w:val="NoSpacing"/>
        <w:rPr>
          <w:b/>
          <w:sz w:val="28"/>
          <w:szCs w:val="28"/>
        </w:rPr>
      </w:pPr>
      <w:r w:rsidRPr="009711A9">
        <w:rPr>
          <w:b/>
          <w:sz w:val="28"/>
          <w:szCs w:val="28"/>
        </w:rPr>
        <w:lastRenderedPageBreak/>
        <w:t xml:space="preserve">Figure </w:t>
      </w:r>
      <w:r w:rsidR="001C2B71">
        <w:rPr>
          <w:b/>
          <w:sz w:val="28"/>
          <w:szCs w:val="28"/>
        </w:rPr>
        <w:t>8</w:t>
      </w:r>
      <w:r w:rsidRPr="009711A9">
        <w:rPr>
          <w:b/>
          <w:sz w:val="28"/>
          <w:szCs w:val="28"/>
        </w:rPr>
        <w:t xml:space="preserve">: </w:t>
      </w:r>
      <w:r>
        <w:rPr>
          <w:b/>
          <w:sz w:val="28"/>
          <w:szCs w:val="28"/>
        </w:rPr>
        <w:t xml:space="preserve">Number of Non-Medicare Persons in </w:t>
      </w:r>
      <w:r w:rsidRPr="009711A9">
        <w:rPr>
          <w:b/>
          <w:sz w:val="28"/>
          <w:szCs w:val="28"/>
        </w:rPr>
        <w:t>New Jersey Nursing Homes, 2001-201</w:t>
      </w:r>
      <w:r w:rsidR="00590CF5">
        <w:rPr>
          <w:b/>
          <w:sz w:val="28"/>
          <w:szCs w:val="28"/>
        </w:rPr>
        <w:t>4</w:t>
      </w:r>
    </w:p>
    <w:p w:rsidR="001A3A82" w:rsidRDefault="00F11B8C" w:rsidP="00D508E0">
      <w:pPr>
        <w:pStyle w:val="NoSpacing"/>
        <w:rPr>
          <w:b/>
          <w:sz w:val="28"/>
          <w:szCs w:val="28"/>
        </w:rPr>
      </w:pPr>
      <w:r>
        <w:rPr>
          <w:noProof/>
        </w:rPr>
        <w:drawing>
          <wp:inline distT="0" distB="0" distL="0" distR="0" wp14:anchorId="679DE9FF" wp14:editId="5CCFA428">
            <wp:extent cx="5867400" cy="3285066"/>
            <wp:effectExtent l="0" t="0" r="1905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4823" w:rsidRDefault="00D508E0" w:rsidP="00D508E0">
      <w:pPr>
        <w:pStyle w:val="NoSpacing"/>
        <w:rPr>
          <w:b/>
          <w:szCs w:val="24"/>
        </w:rPr>
      </w:pPr>
      <w:r w:rsidRPr="009711A9">
        <w:rPr>
          <w:b/>
          <w:szCs w:val="24"/>
        </w:rPr>
        <w:t>Data:</w:t>
      </w:r>
      <w:r w:rsidRPr="009711A9">
        <w:rPr>
          <w:szCs w:val="24"/>
        </w:rPr>
        <w:t xml:space="preserve"> Centers for Medicare and Medicaid Services</w:t>
      </w:r>
      <w:r>
        <w:rPr>
          <w:szCs w:val="24"/>
        </w:rPr>
        <w:t xml:space="preserve">, </w:t>
      </w:r>
      <w:r w:rsidRPr="009711A9">
        <w:rPr>
          <w:rStyle w:val="Emphasis"/>
          <w:b w:val="0"/>
          <w:color w:val="222222"/>
          <w:lang w:val="en"/>
        </w:rPr>
        <w:t>Online Survey, Certification and Reporting</w:t>
      </w:r>
      <w:r>
        <w:rPr>
          <w:rStyle w:val="Emphasis"/>
          <w:b w:val="0"/>
          <w:color w:val="222222"/>
          <w:lang w:val="en"/>
        </w:rPr>
        <w:t xml:space="preserve"> file</w:t>
      </w:r>
      <w:r w:rsidRPr="009711A9">
        <w:rPr>
          <w:b/>
          <w:szCs w:val="24"/>
        </w:rPr>
        <w:t>.</w:t>
      </w:r>
      <w:r>
        <w:rPr>
          <w:b/>
          <w:szCs w:val="24"/>
        </w:rPr>
        <w:t xml:space="preserve"> </w:t>
      </w:r>
      <w:hyperlink r:id="rId20" w:history="1">
        <w:r w:rsidR="006D7058" w:rsidRPr="006D7058">
          <w:rPr>
            <w:rStyle w:val="Hyperlink"/>
            <w:szCs w:val="24"/>
          </w:rPr>
          <w:t>http://www.ahcancal.org/research_data/oscar_data/Pages/default.aspx</w:t>
        </w:r>
      </w:hyperlink>
    </w:p>
    <w:p w:rsidR="00D508E0" w:rsidRPr="00D508E0" w:rsidRDefault="00D508E0" w:rsidP="00D508E0">
      <w:pPr>
        <w:pStyle w:val="NoSpacing"/>
        <w:rPr>
          <w:szCs w:val="24"/>
        </w:rPr>
      </w:pPr>
      <w:r>
        <w:rPr>
          <w:b/>
          <w:szCs w:val="24"/>
        </w:rPr>
        <w:t xml:space="preserve">Note: </w:t>
      </w:r>
      <w:r w:rsidRPr="00D508E0">
        <w:rPr>
          <w:szCs w:val="24"/>
        </w:rPr>
        <w:t xml:space="preserve">Persons </w:t>
      </w:r>
      <w:r>
        <w:rPr>
          <w:szCs w:val="24"/>
        </w:rPr>
        <w:t>whose nursing home use is</w:t>
      </w:r>
      <w:r w:rsidRPr="00D508E0">
        <w:rPr>
          <w:szCs w:val="24"/>
        </w:rPr>
        <w:t xml:space="preserve"> </w:t>
      </w:r>
      <w:r w:rsidRPr="001A3A82">
        <w:rPr>
          <w:b/>
          <w:szCs w:val="24"/>
        </w:rPr>
        <w:t>not</w:t>
      </w:r>
      <w:r>
        <w:rPr>
          <w:szCs w:val="24"/>
        </w:rPr>
        <w:t xml:space="preserve"> </w:t>
      </w:r>
      <w:r w:rsidRPr="00D508E0">
        <w:rPr>
          <w:szCs w:val="24"/>
        </w:rPr>
        <w:t>paid by Medicare</w:t>
      </w:r>
    </w:p>
    <w:p w:rsidR="00D508E0" w:rsidRPr="009711A9" w:rsidRDefault="00D508E0" w:rsidP="00D508E0">
      <w:pPr>
        <w:pStyle w:val="NoSpacing"/>
        <w:rPr>
          <w:b/>
          <w:szCs w:val="24"/>
        </w:rPr>
      </w:pPr>
    </w:p>
    <w:p w:rsidR="003124DA" w:rsidRDefault="00BC0318" w:rsidP="009F0E49">
      <w:pPr>
        <w:jc w:val="both"/>
        <w:rPr>
          <w:szCs w:val="24"/>
        </w:rPr>
      </w:pPr>
      <w:r w:rsidRPr="003912B7">
        <w:rPr>
          <w:b/>
          <w:szCs w:val="24"/>
        </w:rPr>
        <w:t>Figure 9</w:t>
      </w:r>
      <w:r>
        <w:rPr>
          <w:szCs w:val="24"/>
        </w:rPr>
        <w:t xml:space="preserve"> reviews the current occupancy rate</w:t>
      </w:r>
      <w:r w:rsidR="002D2A92">
        <w:rPr>
          <w:szCs w:val="24"/>
        </w:rPr>
        <w:t>s</w:t>
      </w:r>
      <w:r>
        <w:rPr>
          <w:szCs w:val="24"/>
        </w:rPr>
        <w:t xml:space="preserve"> of </w:t>
      </w:r>
      <w:r w:rsidR="002D2A92">
        <w:rPr>
          <w:szCs w:val="24"/>
        </w:rPr>
        <w:t xml:space="preserve">nursing homes in Atlantic, Burlington, Ocean and Monmouth County. </w:t>
      </w:r>
    </w:p>
    <w:p w:rsidR="00B20CE0" w:rsidRDefault="006E0DBE" w:rsidP="009F0E49">
      <w:pPr>
        <w:jc w:val="both"/>
        <w:rPr>
          <w:szCs w:val="24"/>
        </w:rPr>
      </w:pPr>
      <w:r>
        <w:rPr>
          <w:szCs w:val="24"/>
        </w:rPr>
        <w:t xml:space="preserve">Nursing home utilization in the United States has been declining since 1997. </w:t>
      </w:r>
      <w:r w:rsidR="003124DA">
        <w:rPr>
          <w:szCs w:val="24"/>
        </w:rPr>
        <w:t xml:space="preserve">As </w:t>
      </w:r>
      <w:r w:rsidR="00EE46C4">
        <w:rPr>
          <w:szCs w:val="24"/>
        </w:rPr>
        <w:t>discussed</w:t>
      </w:r>
      <w:r w:rsidR="003124DA">
        <w:rPr>
          <w:szCs w:val="24"/>
        </w:rPr>
        <w:t xml:space="preserve"> above, vacancy issues in nursing homes are primarily due to declines in the number of Medicaid and private pay persons that received custodial care for long periods</w:t>
      </w:r>
      <w:r w:rsidR="00EE46C4">
        <w:rPr>
          <w:szCs w:val="24"/>
        </w:rPr>
        <w:t xml:space="preserve"> in homes. In addition to national factors affecting all states</w:t>
      </w:r>
      <w:r w:rsidR="003124DA">
        <w:rPr>
          <w:szCs w:val="24"/>
        </w:rPr>
        <w:t xml:space="preserve">, there are </w:t>
      </w:r>
      <w:r>
        <w:rPr>
          <w:szCs w:val="24"/>
        </w:rPr>
        <w:t xml:space="preserve">three </w:t>
      </w:r>
      <w:r w:rsidR="00EE46C4">
        <w:rPr>
          <w:szCs w:val="24"/>
        </w:rPr>
        <w:t xml:space="preserve">state-specific </w:t>
      </w:r>
      <w:r w:rsidR="003124DA">
        <w:rPr>
          <w:szCs w:val="24"/>
        </w:rPr>
        <w:t xml:space="preserve">factors that influence the occupancy rates reported for New Jersey nursing homes. </w:t>
      </w:r>
    </w:p>
    <w:p w:rsidR="006E0DBE" w:rsidRPr="006E0DBE" w:rsidRDefault="006E0DBE" w:rsidP="009F0E49">
      <w:pPr>
        <w:jc w:val="both"/>
        <w:rPr>
          <w:szCs w:val="24"/>
        </w:rPr>
      </w:pPr>
      <w:r>
        <w:rPr>
          <w:b/>
          <w:szCs w:val="24"/>
        </w:rPr>
        <w:t xml:space="preserve">First, </w:t>
      </w:r>
      <w:r w:rsidRPr="006E0DBE">
        <w:rPr>
          <w:szCs w:val="24"/>
        </w:rPr>
        <w:t>occupancy is dependent on the existence of alternatives.</w:t>
      </w:r>
      <w:r>
        <w:rPr>
          <w:b/>
          <w:szCs w:val="24"/>
        </w:rPr>
        <w:t xml:space="preserve"> </w:t>
      </w:r>
      <w:r w:rsidRPr="006E0DBE">
        <w:rPr>
          <w:szCs w:val="24"/>
        </w:rPr>
        <w:t xml:space="preserve">Nursing home care in New Jersey is expensive. </w:t>
      </w:r>
      <w:r>
        <w:rPr>
          <w:szCs w:val="24"/>
        </w:rPr>
        <w:t xml:space="preserve">In 2013 the average semi-private room in a New Jersey nursing home costs $109,500 a </w:t>
      </w:r>
      <w:r w:rsidR="00C67B55">
        <w:rPr>
          <w:szCs w:val="24"/>
        </w:rPr>
        <w:t>year</w:t>
      </w:r>
      <w:r>
        <w:rPr>
          <w:szCs w:val="24"/>
        </w:rPr>
        <w:t>. However, assisted living cost $65,160 and in</w:t>
      </w:r>
      <w:r w:rsidR="00EE46C4">
        <w:rPr>
          <w:szCs w:val="24"/>
        </w:rPr>
        <w:t>-</w:t>
      </w:r>
      <w:r>
        <w:rPr>
          <w:szCs w:val="24"/>
        </w:rPr>
        <w:t>home services cost $48,345.</w:t>
      </w:r>
      <w:r>
        <w:rPr>
          <w:rStyle w:val="FootnoteReference"/>
          <w:szCs w:val="24"/>
        </w:rPr>
        <w:footnoteReference w:id="1"/>
      </w:r>
      <w:r w:rsidR="00EE46C4">
        <w:rPr>
          <w:szCs w:val="24"/>
        </w:rPr>
        <w:t xml:space="preserve"> It is hard for families to pay for nursing homes especially during economic recessions such as we are experiencing in New Jersey.</w:t>
      </w:r>
    </w:p>
    <w:p w:rsidR="00D508E0" w:rsidRPr="000A13D1" w:rsidRDefault="006E0DBE" w:rsidP="009F0E49">
      <w:pPr>
        <w:jc w:val="both"/>
        <w:rPr>
          <w:szCs w:val="24"/>
        </w:rPr>
      </w:pPr>
      <w:r>
        <w:rPr>
          <w:b/>
          <w:szCs w:val="24"/>
        </w:rPr>
        <w:lastRenderedPageBreak/>
        <w:t>Second</w:t>
      </w:r>
      <w:r w:rsidR="003124DA">
        <w:rPr>
          <w:szCs w:val="24"/>
        </w:rPr>
        <w:t xml:space="preserve">, an </w:t>
      </w:r>
      <w:r w:rsidR="002D2A92">
        <w:rPr>
          <w:szCs w:val="24"/>
        </w:rPr>
        <w:t xml:space="preserve">occupancy rate is dependent upon the number of beds that a nursing home provider owns. </w:t>
      </w:r>
      <w:r w:rsidR="003124DA">
        <w:rPr>
          <w:szCs w:val="24"/>
        </w:rPr>
        <w:t xml:space="preserve">Owners have an economic incentive to have more beds than they need since beds can be sold in New Jersey. </w:t>
      </w:r>
      <w:r w:rsidR="00C9175D">
        <w:rPr>
          <w:szCs w:val="24"/>
        </w:rPr>
        <w:t>Providers with too many beds can sell them and there is an active market in New Jersey around the buying and selling of beds.</w:t>
      </w:r>
      <w:r w:rsidR="003124DA">
        <w:rPr>
          <w:szCs w:val="24"/>
        </w:rPr>
        <w:t xml:space="preserve"> </w:t>
      </w:r>
      <w:r w:rsidR="00DF7974">
        <w:rPr>
          <w:szCs w:val="24"/>
        </w:rPr>
        <w:t xml:space="preserve">Beds are currently being sold for $10,000 to $12,000 per bed. </w:t>
      </w:r>
      <w:r w:rsidR="003124DA" w:rsidRPr="000A13D1">
        <w:rPr>
          <w:szCs w:val="24"/>
        </w:rPr>
        <w:t>The economic incentive to have more beds than you need lowers reported occupancy rates</w:t>
      </w:r>
      <w:r w:rsidR="00B36B1E" w:rsidRPr="000A13D1">
        <w:rPr>
          <w:szCs w:val="24"/>
        </w:rPr>
        <w:t>,</w:t>
      </w:r>
      <w:r w:rsidR="003124DA" w:rsidRPr="000A13D1">
        <w:rPr>
          <w:szCs w:val="24"/>
        </w:rPr>
        <w:t xml:space="preserve"> but represents an economic </w:t>
      </w:r>
      <w:r w:rsidR="000A13D1" w:rsidRPr="000A13D1">
        <w:rPr>
          <w:szCs w:val="24"/>
        </w:rPr>
        <w:t>ben</w:t>
      </w:r>
      <w:r w:rsidR="000A13D1">
        <w:rPr>
          <w:szCs w:val="24"/>
        </w:rPr>
        <w:t>e</w:t>
      </w:r>
      <w:r w:rsidR="000A13D1" w:rsidRPr="000A13D1">
        <w:rPr>
          <w:szCs w:val="24"/>
        </w:rPr>
        <w:t>fit</w:t>
      </w:r>
      <w:r w:rsidR="003124DA" w:rsidRPr="000A13D1">
        <w:rPr>
          <w:szCs w:val="24"/>
        </w:rPr>
        <w:t xml:space="preserve"> </w:t>
      </w:r>
      <w:r w:rsidR="00B36B1E" w:rsidRPr="000A13D1">
        <w:rPr>
          <w:szCs w:val="24"/>
        </w:rPr>
        <w:t>to</w:t>
      </w:r>
      <w:r w:rsidR="003124DA" w:rsidRPr="000A13D1">
        <w:rPr>
          <w:szCs w:val="24"/>
        </w:rPr>
        <w:t xml:space="preserve"> owners of nursing home beds. </w:t>
      </w:r>
    </w:p>
    <w:p w:rsidR="00B20CE0" w:rsidRPr="00B20CE0" w:rsidRDefault="006E0DBE" w:rsidP="009F0E49">
      <w:pPr>
        <w:jc w:val="both"/>
        <w:rPr>
          <w:szCs w:val="24"/>
        </w:rPr>
      </w:pPr>
      <w:r>
        <w:rPr>
          <w:b/>
          <w:szCs w:val="24"/>
        </w:rPr>
        <w:t>Third</w:t>
      </w:r>
      <w:r w:rsidR="00B20CE0" w:rsidRPr="00B20CE0">
        <w:rPr>
          <w:b/>
          <w:szCs w:val="24"/>
        </w:rPr>
        <w:t xml:space="preserve">, </w:t>
      </w:r>
      <w:r w:rsidR="00B20CE0">
        <w:rPr>
          <w:szCs w:val="24"/>
        </w:rPr>
        <w:t xml:space="preserve">the resident data reported on the Department of Health website are self-reported data from nursing homes provided in compliance with federal requirements. </w:t>
      </w:r>
      <w:r w:rsidR="00CF325C">
        <w:rPr>
          <w:szCs w:val="24"/>
        </w:rPr>
        <w:t>N</w:t>
      </w:r>
      <w:r w:rsidR="00B20CE0">
        <w:rPr>
          <w:szCs w:val="24"/>
        </w:rPr>
        <w:t xml:space="preserve">ursing homes are publically judged on the basis of the </w:t>
      </w:r>
      <w:r w:rsidR="00B36B1E">
        <w:rPr>
          <w:szCs w:val="24"/>
        </w:rPr>
        <w:t>staff to resident ratios</w:t>
      </w:r>
      <w:r w:rsidR="00B20CE0">
        <w:rPr>
          <w:szCs w:val="24"/>
        </w:rPr>
        <w:t xml:space="preserve"> reported</w:t>
      </w:r>
      <w:r w:rsidR="00B36B1E">
        <w:rPr>
          <w:szCs w:val="24"/>
        </w:rPr>
        <w:t>.</w:t>
      </w:r>
      <w:r w:rsidR="00B20CE0">
        <w:rPr>
          <w:szCs w:val="24"/>
        </w:rPr>
        <w:t xml:space="preserve"> Even a slight downward bias in the number of reported residents would increase the staffing ratio and make the nursing home appear to more in compliance with federal staffing standards. </w:t>
      </w:r>
      <w:r w:rsidR="00B36B1E">
        <w:rPr>
          <w:szCs w:val="24"/>
        </w:rPr>
        <w:t xml:space="preserve">The downward bias </w:t>
      </w:r>
      <w:r w:rsidR="00CF325C">
        <w:rPr>
          <w:szCs w:val="24"/>
        </w:rPr>
        <w:t xml:space="preserve">in resident counts </w:t>
      </w:r>
      <w:r w:rsidR="00B36B1E">
        <w:rPr>
          <w:szCs w:val="24"/>
        </w:rPr>
        <w:t>would lower reported occupancy rates.</w:t>
      </w:r>
      <w:r w:rsidR="00B20CE0">
        <w:rPr>
          <w:szCs w:val="24"/>
        </w:rPr>
        <w:t xml:space="preserve"> </w:t>
      </w:r>
    </w:p>
    <w:p w:rsidR="00B36B1E" w:rsidRDefault="006D7058" w:rsidP="003124DA">
      <w:pPr>
        <w:pStyle w:val="NoSpacing"/>
        <w:rPr>
          <w:b/>
          <w:sz w:val="28"/>
          <w:szCs w:val="28"/>
        </w:rPr>
      </w:pPr>
      <w:r w:rsidRPr="003124DA">
        <w:rPr>
          <w:b/>
          <w:sz w:val="28"/>
          <w:szCs w:val="28"/>
        </w:rPr>
        <w:t xml:space="preserve">Figure </w:t>
      </w:r>
      <w:r w:rsidR="001C2B71" w:rsidRPr="003124DA">
        <w:rPr>
          <w:b/>
          <w:sz w:val="28"/>
          <w:szCs w:val="28"/>
        </w:rPr>
        <w:t>9</w:t>
      </w:r>
      <w:r w:rsidRPr="003124DA">
        <w:rPr>
          <w:b/>
          <w:sz w:val="28"/>
          <w:szCs w:val="28"/>
        </w:rPr>
        <w:t>: 201</w:t>
      </w:r>
      <w:r w:rsidR="003124DA" w:rsidRPr="003124DA">
        <w:rPr>
          <w:b/>
          <w:sz w:val="28"/>
          <w:szCs w:val="28"/>
        </w:rPr>
        <w:t>4</w:t>
      </w:r>
      <w:r w:rsidR="00B36B1E">
        <w:rPr>
          <w:b/>
          <w:sz w:val="28"/>
          <w:szCs w:val="28"/>
        </w:rPr>
        <w:t xml:space="preserve"> </w:t>
      </w:r>
      <w:r w:rsidR="00EB04DD" w:rsidRPr="003124DA">
        <w:rPr>
          <w:b/>
          <w:sz w:val="28"/>
          <w:szCs w:val="28"/>
        </w:rPr>
        <w:t xml:space="preserve">New Jersey Nursing Facility </w:t>
      </w:r>
      <w:r w:rsidRPr="003124DA">
        <w:rPr>
          <w:b/>
          <w:sz w:val="28"/>
          <w:szCs w:val="28"/>
        </w:rPr>
        <w:t xml:space="preserve">Occupancy Rates </w:t>
      </w:r>
    </w:p>
    <w:tbl>
      <w:tblPr>
        <w:tblW w:w="7300" w:type="dxa"/>
        <w:tblInd w:w="108" w:type="dxa"/>
        <w:tblLook w:val="04A0" w:firstRow="1" w:lastRow="0" w:firstColumn="1" w:lastColumn="0" w:noHBand="0" w:noVBand="1"/>
      </w:tblPr>
      <w:tblGrid>
        <w:gridCol w:w="1396"/>
        <w:gridCol w:w="1476"/>
        <w:gridCol w:w="1476"/>
        <w:gridCol w:w="1417"/>
        <w:gridCol w:w="1535"/>
      </w:tblGrid>
      <w:tr w:rsidR="00B36B1E" w:rsidRPr="00B36B1E" w:rsidTr="00B36B1E">
        <w:trPr>
          <w:trHeight w:val="1500"/>
        </w:trPr>
        <w:tc>
          <w:tcPr>
            <w:tcW w:w="1396" w:type="dxa"/>
            <w:tcBorders>
              <w:top w:val="nil"/>
              <w:left w:val="nil"/>
              <w:bottom w:val="nil"/>
              <w:right w:val="nil"/>
            </w:tcBorders>
            <w:shd w:val="clear" w:color="000000" w:fill="002060"/>
            <w:noWrap/>
            <w:vAlign w:val="center"/>
            <w:hideMark/>
          </w:tcPr>
          <w:p w:rsidR="00B36B1E" w:rsidRPr="00B36B1E" w:rsidRDefault="00B36B1E" w:rsidP="00B36B1E">
            <w:pPr>
              <w:spacing w:after="0" w:line="240" w:lineRule="auto"/>
              <w:rPr>
                <w:rFonts w:eastAsia="Times New Roman"/>
                <w:b/>
                <w:bCs/>
                <w:color w:val="FFFFFF"/>
                <w:szCs w:val="24"/>
              </w:rPr>
            </w:pPr>
            <w:r w:rsidRPr="00B36B1E">
              <w:rPr>
                <w:rFonts w:eastAsia="Times New Roman"/>
                <w:b/>
                <w:bCs/>
                <w:color w:val="FFFFFF"/>
                <w:szCs w:val="24"/>
              </w:rPr>
              <w:t>2014</w:t>
            </w:r>
          </w:p>
        </w:tc>
        <w:tc>
          <w:tcPr>
            <w:tcW w:w="1476" w:type="dxa"/>
            <w:tcBorders>
              <w:top w:val="nil"/>
              <w:left w:val="nil"/>
              <w:bottom w:val="nil"/>
              <w:right w:val="nil"/>
            </w:tcBorders>
            <w:shd w:val="clear" w:color="000000" w:fill="002060"/>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 xml:space="preserve">Number of Facilities with Occupancy Rates </w:t>
            </w:r>
          </w:p>
        </w:tc>
        <w:tc>
          <w:tcPr>
            <w:tcW w:w="1476" w:type="dxa"/>
            <w:tcBorders>
              <w:top w:val="nil"/>
              <w:left w:val="nil"/>
              <w:bottom w:val="nil"/>
              <w:right w:val="nil"/>
            </w:tcBorders>
            <w:shd w:val="clear" w:color="000000" w:fill="002060"/>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 xml:space="preserve">Number of Facilities with Occupancy Rates </w:t>
            </w:r>
          </w:p>
        </w:tc>
        <w:tc>
          <w:tcPr>
            <w:tcW w:w="1417" w:type="dxa"/>
            <w:tcBorders>
              <w:top w:val="nil"/>
              <w:left w:val="nil"/>
              <w:bottom w:val="nil"/>
              <w:right w:val="nil"/>
            </w:tcBorders>
            <w:shd w:val="clear" w:color="000000" w:fill="002060"/>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 xml:space="preserve">Number of Facilities with Occupancy Rates </w:t>
            </w:r>
          </w:p>
        </w:tc>
        <w:tc>
          <w:tcPr>
            <w:tcW w:w="1535" w:type="dxa"/>
            <w:tcBorders>
              <w:top w:val="nil"/>
              <w:left w:val="nil"/>
              <w:bottom w:val="nil"/>
              <w:right w:val="nil"/>
            </w:tcBorders>
            <w:shd w:val="clear" w:color="000000" w:fill="002060"/>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 xml:space="preserve">Number of Facilities with Occupancy Rates </w:t>
            </w:r>
          </w:p>
        </w:tc>
      </w:tr>
      <w:tr w:rsidR="00B36B1E" w:rsidRPr="00B36B1E" w:rsidTr="00B36B1E">
        <w:trPr>
          <w:trHeight w:val="300"/>
        </w:trPr>
        <w:tc>
          <w:tcPr>
            <w:tcW w:w="1396"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B36B1E" w:rsidRPr="00B36B1E" w:rsidRDefault="00B36B1E" w:rsidP="00B36B1E">
            <w:pPr>
              <w:spacing w:after="0" w:line="240" w:lineRule="auto"/>
              <w:rPr>
                <w:rFonts w:eastAsia="Times New Roman"/>
                <w:b/>
                <w:bCs/>
                <w:color w:val="FFFFFF"/>
                <w:szCs w:val="24"/>
              </w:rPr>
            </w:pPr>
            <w:r w:rsidRPr="00B36B1E">
              <w:rPr>
                <w:rFonts w:eastAsia="Times New Roman"/>
                <w:b/>
                <w:bCs/>
                <w:color w:val="FFFFFF"/>
                <w:szCs w:val="24"/>
              </w:rPr>
              <w:t> </w:t>
            </w:r>
          </w:p>
        </w:tc>
        <w:tc>
          <w:tcPr>
            <w:tcW w:w="1476" w:type="dxa"/>
            <w:tcBorders>
              <w:top w:val="single" w:sz="4" w:space="0" w:color="auto"/>
              <w:left w:val="nil"/>
              <w:bottom w:val="single" w:sz="4" w:space="0" w:color="auto"/>
              <w:right w:val="single" w:sz="4" w:space="0" w:color="auto"/>
            </w:tcBorders>
            <w:shd w:val="clear" w:color="000000" w:fill="002060"/>
            <w:noWrap/>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under .699</w:t>
            </w:r>
          </w:p>
        </w:tc>
        <w:tc>
          <w:tcPr>
            <w:tcW w:w="1476" w:type="dxa"/>
            <w:tcBorders>
              <w:top w:val="single" w:sz="4" w:space="0" w:color="auto"/>
              <w:left w:val="nil"/>
              <w:bottom w:val="single" w:sz="4" w:space="0" w:color="auto"/>
              <w:right w:val="single" w:sz="4" w:space="0" w:color="auto"/>
            </w:tcBorders>
            <w:shd w:val="clear" w:color="000000" w:fill="002060"/>
            <w:noWrap/>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.70 to .799</w:t>
            </w:r>
          </w:p>
        </w:tc>
        <w:tc>
          <w:tcPr>
            <w:tcW w:w="1417" w:type="dxa"/>
            <w:tcBorders>
              <w:top w:val="single" w:sz="4" w:space="0" w:color="auto"/>
              <w:left w:val="nil"/>
              <w:bottom w:val="single" w:sz="4" w:space="0" w:color="auto"/>
              <w:right w:val="single" w:sz="4" w:space="0" w:color="auto"/>
            </w:tcBorders>
            <w:shd w:val="clear" w:color="000000" w:fill="002060"/>
            <w:noWrap/>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.80 to .899</w:t>
            </w:r>
          </w:p>
        </w:tc>
        <w:tc>
          <w:tcPr>
            <w:tcW w:w="1535" w:type="dxa"/>
            <w:tcBorders>
              <w:top w:val="single" w:sz="4" w:space="0" w:color="auto"/>
              <w:left w:val="nil"/>
              <w:bottom w:val="single" w:sz="4" w:space="0" w:color="auto"/>
              <w:right w:val="single" w:sz="4" w:space="0" w:color="auto"/>
            </w:tcBorders>
            <w:shd w:val="clear" w:color="000000" w:fill="002060"/>
            <w:noWrap/>
            <w:vAlign w:val="center"/>
            <w:hideMark/>
          </w:tcPr>
          <w:p w:rsidR="00B36B1E" w:rsidRPr="00B36B1E" w:rsidRDefault="00B36B1E" w:rsidP="00B36B1E">
            <w:pPr>
              <w:spacing w:after="0" w:line="240" w:lineRule="auto"/>
              <w:jc w:val="center"/>
              <w:rPr>
                <w:rFonts w:eastAsia="Times New Roman"/>
                <w:b/>
                <w:bCs/>
                <w:color w:val="FFFFFF"/>
                <w:szCs w:val="24"/>
              </w:rPr>
            </w:pPr>
            <w:r w:rsidRPr="00B36B1E">
              <w:rPr>
                <w:rFonts w:eastAsia="Times New Roman"/>
                <w:b/>
                <w:bCs/>
                <w:color w:val="FFFFFF"/>
                <w:szCs w:val="24"/>
              </w:rPr>
              <w:t>.90 +</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 xml:space="preserve">Atlantic </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2</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4</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 xml:space="preserve">Burlington </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2</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 0</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4</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12</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Monmouth</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2</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11</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13</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Ocean</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3</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20</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9</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 xml:space="preserve">Total </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9</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39</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35</w:t>
            </w:r>
          </w:p>
        </w:tc>
      </w:tr>
      <w:tr w:rsidR="00B36B1E" w:rsidRPr="00B36B1E" w:rsidTr="00B36B1E">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B36B1E" w:rsidRPr="00B36B1E" w:rsidRDefault="00B36B1E" w:rsidP="00B36B1E">
            <w:pPr>
              <w:spacing w:after="0" w:line="240" w:lineRule="auto"/>
              <w:rPr>
                <w:rFonts w:eastAsia="Times New Roman"/>
                <w:color w:val="000000"/>
                <w:szCs w:val="24"/>
              </w:rPr>
            </w:pPr>
            <w:r w:rsidRPr="00B36B1E">
              <w:rPr>
                <w:rFonts w:eastAsia="Times New Roman"/>
                <w:color w:val="000000"/>
                <w:szCs w:val="24"/>
              </w:rPr>
              <w:t xml:space="preserve">% of Total </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9%</w:t>
            </w:r>
          </w:p>
        </w:tc>
        <w:tc>
          <w:tcPr>
            <w:tcW w:w="1476"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41%</w:t>
            </w:r>
          </w:p>
        </w:tc>
        <w:tc>
          <w:tcPr>
            <w:tcW w:w="1535" w:type="dxa"/>
            <w:tcBorders>
              <w:top w:val="nil"/>
              <w:left w:val="nil"/>
              <w:bottom w:val="single" w:sz="4" w:space="0" w:color="auto"/>
              <w:right w:val="single" w:sz="4" w:space="0" w:color="auto"/>
            </w:tcBorders>
            <w:shd w:val="clear" w:color="auto" w:fill="auto"/>
            <w:noWrap/>
            <w:vAlign w:val="center"/>
            <w:hideMark/>
          </w:tcPr>
          <w:p w:rsidR="00B36B1E" w:rsidRPr="00B36B1E" w:rsidRDefault="00B36B1E" w:rsidP="00B36B1E">
            <w:pPr>
              <w:spacing w:after="0" w:line="240" w:lineRule="auto"/>
              <w:jc w:val="center"/>
              <w:rPr>
                <w:rFonts w:eastAsia="Times New Roman"/>
                <w:szCs w:val="24"/>
              </w:rPr>
            </w:pPr>
            <w:r w:rsidRPr="00B36B1E">
              <w:rPr>
                <w:rFonts w:eastAsia="Times New Roman"/>
                <w:szCs w:val="24"/>
              </w:rPr>
              <w:t>36%</w:t>
            </w:r>
          </w:p>
        </w:tc>
      </w:tr>
    </w:tbl>
    <w:p w:rsidR="003124DA" w:rsidRPr="00B36B1E" w:rsidRDefault="006D7058" w:rsidP="003124DA">
      <w:pPr>
        <w:pStyle w:val="NoSpacing"/>
        <w:rPr>
          <w:szCs w:val="24"/>
        </w:rPr>
      </w:pPr>
      <w:r w:rsidRPr="00B36B1E">
        <w:rPr>
          <w:b/>
          <w:szCs w:val="24"/>
        </w:rPr>
        <w:t>Data:</w:t>
      </w:r>
      <w:r w:rsidRPr="00B36B1E">
        <w:rPr>
          <w:szCs w:val="24"/>
        </w:rPr>
        <w:t xml:space="preserve"> New Jersey Department of Health</w:t>
      </w:r>
      <w:r w:rsidR="005D0AB9" w:rsidRPr="00B36B1E">
        <w:rPr>
          <w:szCs w:val="24"/>
        </w:rPr>
        <w:t>,</w:t>
      </w:r>
    </w:p>
    <w:p w:rsidR="003124DA" w:rsidRPr="00B36B1E" w:rsidRDefault="003124DA" w:rsidP="003124DA">
      <w:pPr>
        <w:spacing w:after="0" w:line="240" w:lineRule="auto"/>
        <w:rPr>
          <w:rFonts w:eastAsia="Times New Roman"/>
          <w:color w:val="000000"/>
          <w:szCs w:val="24"/>
        </w:rPr>
      </w:pPr>
      <w:r w:rsidRPr="00B36B1E">
        <w:rPr>
          <w:rFonts w:eastAsia="Times New Roman"/>
          <w:b/>
          <w:bCs/>
          <w:color w:val="000000"/>
          <w:szCs w:val="24"/>
        </w:rPr>
        <w:t>Note:</w:t>
      </w:r>
      <w:r w:rsidRPr="00B36B1E">
        <w:rPr>
          <w:rFonts w:eastAsia="Times New Roman"/>
          <w:color w:val="000000"/>
          <w:szCs w:val="24"/>
        </w:rPr>
        <w:t xml:space="preserve"> Data is missing for Neptune in Monmouth County</w:t>
      </w:r>
    </w:p>
    <w:p w:rsidR="007474F5" w:rsidRDefault="007474F5" w:rsidP="0050033A">
      <w:pPr>
        <w:pStyle w:val="NoSpacing"/>
        <w:rPr>
          <w:b/>
          <w:sz w:val="28"/>
          <w:szCs w:val="28"/>
        </w:rPr>
      </w:pPr>
    </w:p>
    <w:p w:rsidR="009F0E49" w:rsidRPr="009F0E49" w:rsidRDefault="009744E5" w:rsidP="009F0E49">
      <w:pPr>
        <w:jc w:val="both"/>
        <w:rPr>
          <w:rFonts w:eastAsia="Times New Roman"/>
          <w:color w:val="000000"/>
          <w:szCs w:val="24"/>
        </w:rPr>
      </w:pPr>
      <w:r w:rsidRPr="009744E5">
        <w:rPr>
          <w:b/>
          <w:szCs w:val="24"/>
        </w:rPr>
        <w:t xml:space="preserve">Figure 10 </w:t>
      </w:r>
      <w:r w:rsidRPr="009744E5">
        <w:rPr>
          <w:szCs w:val="24"/>
        </w:rPr>
        <w:t>presents data on the number of new nursing home beds that have been added in the four counties since January 1, 2012</w:t>
      </w:r>
      <w:r w:rsidRPr="009744E5">
        <w:rPr>
          <w:b/>
          <w:szCs w:val="24"/>
        </w:rPr>
        <w:t xml:space="preserve">. </w:t>
      </w:r>
      <w:r w:rsidR="009E4479">
        <w:rPr>
          <w:rFonts w:eastAsia="Times New Roman"/>
          <w:color w:val="000000"/>
          <w:szCs w:val="24"/>
        </w:rPr>
        <w:t xml:space="preserve">If there were concerns about occupancy, then we would likely not find that nursing home owners were opening hundreds of new beds and acquiring new facilities. </w:t>
      </w:r>
      <w:r w:rsidR="009F0E49" w:rsidRPr="009F0E49">
        <w:rPr>
          <w:szCs w:val="24"/>
        </w:rPr>
        <w:t xml:space="preserve">Instead, the data show that </w:t>
      </w:r>
      <w:r w:rsidR="009F0E49">
        <w:rPr>
          <w:szCs w:val="24"/>
        </w:rPr>
        <w:t xml:space="preserve">a net of 423 beds have been added in the four counties. </w:t>
      </w:r>
      <w:r w:rsidR="009F0E49" w:rsidRPr="009F0E49">
        <w:rPr>
          <w:szCs w:val="24"/>
        </w:rPr>
        <w:t xml:space="preserve">Moreover, </w:t>
      </w:r>
      <w:r w:rsidR="005F3132">
        <w:rPr>
          <w:rFonts w:eastAsia="Times New Roman"/>
          <w:color w:val="000000"/>
          <w:szCs w:val="24"/>
        </w:rPr>
        <w:t xml:space="preserve">in </w:t>
      </w:r>
      <w:r w:rsidR="005F3132" w:rsidRPr="009F0E49">
        <w:rPr>
          <w:rFonts w:eastAsia="Times New Roman"/>
          <w:color w:val="000000"/>
          <w:szCs w:val="24"/>
        </w:rPr>
        <w:t>February 2014</w:t>
      </w:r>
      <w:r w:rsidR="009F0E49" w:rsidRPr="009F0E49">
        <w:rPr>
          <w:rFonts w:eastAsia="Times New Roman"/>
          <w:color w:val="000000"/>
          <w:szCs w:val="24"/>
        </w:rPr>
        <w:t xml:space="preserve">, AristaCare Health Services of South </w:t>
      </w:r>
      <w:r w:rsidR="005F3132" w:rsidRPr="009F0E49">
        <w:rPr>
          <w:rFonts w:eastAsia="Times New Roman"/>
          <w:color w:val="000000"/>
          <w:szCs w:val="24"/>
        </w:rPr>
        <w:t>Plainfield</w:t>
      </w:r>
      <w:r w:rsidR="009F0E49" w:rsidRPr="009F0E49">
        <w:rPr>
          <w:rFonts w:eastAsia="Times New Roman"/>
          <w:color w:val="000000"/>
          <w:szCs w:val="24"/>
        </w:rPr>
        <w:t xml:space="preserve"> acquired the 165-bed former Manchester Manor </w:t>
      </w:r>
      <w:r w:rsidR="009F0E49">
        <w:rPr>
          <w:rFonts w:eastAsia="Times New Roman"/>
          <w:color w:val="000000"/>
          <w:szCs w:val="24"/>
        </w:rPr>
        <w:t xml:space="preserve">in </w:t>
      </w:r>
      <w:r w:rsidR="009F0E49" w:rsidRPr="009F0E49">
        <w:rPr>
          <w:rFonts w:eastAsia="Times New Roman"/>
          <w:color w:val="000000"/>
          <w:szCs w:val="24"/>
        </w:rPr>
        <w:t>Manchester Township, which is now operating as AristaCare at Manchester</w:t>
      </w:r>
      <w:r w:rsidR="009F0E49">
        <w:rPr>
          <w:rFonts w:eastAsia="Times New Roman"/>
          <w:color w:val="000000"/>
          <w:szCs w:val="24"/>
        </w:rPr>
        <w:t xml:space="preserve">. </w:t>
      </w:r>
    </w:p>
    <w:p w:rsidR="009E224C" w:rsidRDefault="009E224C" w:rsidP="0050033A">
      <w:pPr>
        <w:pStyle w:val="NoSpacing"/>
        <w:rPr>
          <w:b/>
          <w:sz w:val="28"/>
          <w:szCs w:val="28"/>
        </w:rPr>
      </w:pPr>
    </w:p>
    <w:p w:rsidR="009F0E49" w:rsidRPr="009F0E49" w:rsidRDefault="009F0E49" w:rsidP="0050033A">
      <w:pPr>
        <w:pStyle w:val="NoSpacing"/>
        <w:rPr>
          <w:b/>
          <w:sz w:val="28"/>
          <w:szCs w:val="28"/>
        </w:rPr>
      </w:pPr>
      <w:r w:rsidRPr="009F0E49">
        <w:rPr>
          <w:b/>
          <w:sz w:val="28"/>
          <w:szCs w:val="28"/>
        </w:rPr>
        <w:lastRenderedPageBreak/>
        <w:t>Figure 10: Net Beds Added</w:t>
      </w:r>
      <w:r w:rsidR="009E4479">
        <w:rPr>
          <w:b/>
          <w:sz w:val="28"/>
          <w:szCs w:val="28"/>
        </w:rPr>
        <w:t xml:space="preserve"> (or Reduced) </w:t>
      </w:r>
      <w:r w:rsidRPr="009F0E49">
        <w:rPr>
          <w:b/>
          <w:sz w:val="28"/>
          <w:szCs w:val="28"/>
        </w:rPr>
        <w:t>between 1-1-2012 and 9-20-2014 in Atlantic, Burlington, Monmouth and Ocean Counties</w:t>
      </w:r>
    </w:p>
    <w:tbl>
      <w:tblPr>
        <w:tblW w:w="7720" w:type="dxa"/>
        <w:tblInd w:w="98" w:type="dxa"/>
        <w:tblLook w:val="04A0" w:firstRow="1" w:lastRow="0" w:firstColumn="1" w:lastColumn="0" w:noHBand="0" w:noVBand="1"/>
      </w:tblPr>
      <w:tblGrid>
        <w:gridCol w:w="2102"/>
        <w:gridCol w:w="3252"/>
        <w:gridCol w:w="1375"/>
        <w:gridCol w:w="1003"/>
      </w:tblGrid>
      <w:tr w:rsidR="00A257D9" w:rsidRPr="00A257D9" w:rsidTr="00A257D9">
        <w:trPr>
          <w:trHeight w:val="630"/>
        </w:trPr>
        <w:tc>
          <w:tcPr>
            <w:tcW w:w="2102" w:type="dxa"/>
            <w:tcBorders>
              <w:top w:val="single" w:sz="8" w:space="0" w:color="auto"/>
              <w:left w:val="single" w:sz="8" w:space="0" w:color="auto"/>
              <w:bottom w:val="nil"/>
              <w:right w:val="single" w:sz="4" w:space="0" w:color="auto"/>
            </w:tcBorders>
            <w:shd w:val="clear" w:color="000000" w:fill="002060"/>
            <w:vAlign w:val="center"/>
            <w:hideMark/>
          </w:tcPr>
          <w:p w:rsidR="00A257D9" w:rsidRPr="00A257D9" w:rsidRDefault="00A257D9" w:rsidP="00A257D9">
            <w:pPr>
              <w:spacing w:after="0" w:line="240" w:lineRule="auto"/>
              <w:rPr>
                <w:rFonts w:eastAsia="Times New Roman"/>
                <w:b/>
                <w:bCs/>
                <w:color w:val="FFFFFF"/>
                <w:szCs w:val="24"/>
              </w:rPr>
            </w:pPr>
            <w:r w:rsidRPr="00A257D9">
              <w:rPr>
                <w:rFonts w:eastAsia="Times New Roman"/>
                <w:b/>
                <w:bCs/>
                <w:color w:val="FFFFFF"/>
                <w:szCs w:val="24"/>
              </w:rPr>
              <w:t>County</w:t>
            </w:r>
          </w:p>
        </w:tc>
        <w:tc>
          <w:tcPr>
            <w:tcW w:w="3252" w:type="dxa"/>
            <w:tcBorders>
              <w:top w:val="single" w:sz="8" w:space="0" w:color="auto"/>
              <w:left w:val="nil"/>
              <w:bottom w:val="nil"/>
              <w:right w:val="nil"/>
            </w:tcBorders>
            <w:shd w:val="clear" w:color="000000" w:fill="002060"/>
            <w:vAlign w:val="center"/>
            <w:hideMark/>
          </w:tcPr>
          <w:p w:rsidR="00A257D9" w:rsidRPr="00A257D9" w:rsidRDefault="00A257D9" w:rsidP="00A257D9">
            <w:pPr>
              <w:spacing w:after="0" w:line="240" w:lineRule="auto"/>
              <w:rPr>
                <w:rFonts w:eastAsia="Times New Roman"/>
                <w:b/>
                <w:bCs/>
                <w:color w:val="FFFFFF"/>
                <w:szCs w:val="24"/>
              </w:rPr>
            </w:pPr>
            <w:r w:rsidRPr="00A257D9">
              <w:rPr>
                <w:rFonts w:eastAsia="Times New Roman"/>
                <w:b/>
                <w:bCs/>
                <w:color w:val="FFFFFF"/>
                <w:szCs w:val="24"/>
              </w:rPr>
              <w:t xml:space="preserve">Name of Nursing Home </w:t>
            </w:r>
          </w:p>
        </w:tc>
        <w:tc>
          <w:tcPr>
            <w:tcW w:w="1375" w:type="dxa"/>
            <w:tcBorders>
              <w:top w:val="single" w:sz="8" w:space="0" w:color="auto"/>
              <w:left w:val="nil"/>
              <w:bottom w:val="nil"/>
              <w:right w:val="nil"/>
            </w:tcBorders>
            <w:shd w:val="clear" w:color="000000" w:fill="002060"/>
            <w:vAlign w:val="bottom"/>
            <w:hideMark/>
          </w:tcPr>
          <w:p w:rsidR="00A257D9" w:rsidRPr="00A257D9" w:rsidRDefault="00A257D9" w:rsidP="00A257D9">
            <w:pPr>
              <w:spacing w:after="0" w:line="240" w:lineRule="auto"/>
              <w:rPr>
                <w:rFonts w:eastAsia="Times New Roman"/>
                <w:b/>
                <w:bCs/>
                <w:color w:val="FFFFFF"/>
                <w:szCs w:val="24"/>
              </w:rPr>
            </w:pPr>
            <w:r w:rsidRPr="00A257D9">
              <w:rPr>
                <w:rFonts w:eastAsia="Times New Roman"/>
                <w:b/>
                <w:bCs/>
                <w:color w:val="FFFFFF"/>
                <w:szCs w:val="24"/>
              </w:rPr>
              <w:t> </w:t>
            </w:r>
          </w:p>
        </w:tc>
        <w:tc>
          <w:tcPr>
            <w:tcW w:w="991" w:type="dxa"/>
            <w:tcBorders>
              <w:top w:val="single" w:sz="8" w:space="0" w:color="auto"/>
              <w:left w:val="nil"/>
              <w:bottom w:val="nil"/>
              <w:right w:val="single" w:sz="8" w:space="0" w:color="auto"/>
            </w:tcBorders>
            <w:shd w:val="clear" w:color="000000" w:fill="002060"/>
            <w:vAlign w:val="center"/>
            <w:hideMark/>
          </w:tcPr>
          <w:p w:rsidR="00A257D9" w:rsidRPr="00A257D9" w:rsidRDefault="00A257D9" w:rsidP="00A257D9">
            <w:pPr>
              <w:spacing w:after="0" w:line="240" w:lineRule="auto"/>
              <w:jc w:val="center"/>
              <w:rPr>
                <w:rFonts w:eastAsia="Times New Roman"/>
                <w:b/>
                <w:bCs/>
                <w:color w:val="FFFFFF"/>
                <w:szCs w:val="24"/>
              </w:rPr>
            </w:pPr>
            <w:r w:rsidRPr="00A257D9">
              <w:rPr>
                <w:rFonts w:eastAsia="Times New Roman"/>
                <w:b/>
                <w:bCs/>
                <w:color w:val="FFFFFF"/>
                <w:szCs w:val="24"/>
              </w:rPr>
              <w:t>Change in Beds</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Atlantic County</w:t>
            </w:r>
          </w:p>
        </w:tc>
        <w:tc>
          <w:tcPr>
            <w:tcW w:w="4627" w:type="dxa"/>
            <w:gridSpan w:val="2"/>
            <w:tcBorders>
              <w:top w:val="single" w:sz="4" w:space="0" w:color="auto"/>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bookmarkStart w:id="0" w:name="RANGE!I123"/>
            <w:r w:rsidRPr="00A257D9">
              <w:rPr>
                <w:rFonts w:eastAsia="Times New Roman"/>
                <w:szCs w:val="24"/>
              </w:rPr>
              <w:t>Eastern Pines Convalescent Center</w:t>
            </w:r>
            <w:bookmarkEnd w:id="0"/>
          </w:p>
        </w:tc>
        <w:tc>
          <w:tcPr>
            <w:tcW w:w="991" w:type="dxa"/>
            <w:tcBorders>
              <w:top w:val="single" w:sz="4" w:space="0" w:color="auto"/>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10</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 xml:space="preserve">Egg Harbor - </w:t>
            </w:r>
            <w:r w:rsidRPr="00A257D9">
              <w:rPr>
                <w:rFonts w:eastAsia="Times New Roman"/>
                <w:b/>
                <w:bCs/>
                <w:szCs w:val="24"/>
              </w:rPr>
              <w:t>Opened in 2013</w:t>
            </w: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106</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Linwood Care Center</w:t>
            </w: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16</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Meadowview Nursing &amp; Respiratory</w:t>
            </w: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42</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single" w:sz="4" w:space="0" w:color="auto"/>
              <w:bottom w:val="single" w:sz="4"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Royal Suites H&amp;R</w:t>
            </w:r>
          </w:p>
        </w:tc>
        <w:tc>
          <w:tcPr>
            <w:tcW w:w="1375" w:type="dxa"/>
            <w:tcBorders>
              <w:top w:val="nil"/>
              <w:left w:val="nil"/>
              <w:bottom w:val="single" w:sz="4" w:space="0" w:color="auto"/>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991" w:type="dxa"/>
            <w:tcBorders>
              <w:top w:val="nil"/>
              <w:left w:val="nil"/>
              <w:bottom w:val="single" w:sz="4" w:space="0" w:color="auto"/>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26</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Burlington County</w:t>
            </w:r>
          </w:p>
        </w:tc>
        <w:tc>
          <w:tcPr>
            <w:tcW w:w="3252" w:type="dxa"/>
            <w:tcBorders>
              <w:top w:val="single" w:sz="4" w:space="0" w:color="auto"/>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Burlington Woods</w:t>
            </w:r>
          </w:p>
        </w:tc>
        <w:tc>
          <w:tcPr>
            <w:tcW w:w="1375" w:type="dxa"/>
            <w:tcBorders>
              <w:top w:val="single" w:sz="4" w:space="0" w:color="auto"/>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991" w:type="dxa"/>
            <w:tcBorders>
              <w:top w:val="single" w:sz="4" w:space="0" w:color="auto"/>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-12</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single" w:sz="4"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 xml:space="preserve">The Evergreens - </w:t>
            </w:r>
            <w:r w:rsidRPr="00A257D9">
              <w:rPr>
                <w:rFonts w:eastAsia="Times New Roman"/>
                <w:b/>
                <w:bCs/>
                <w:szCs w:val="24"/>
              </w:rPr>
              <w:t>Opened in 2012</w:t>
            </w:r>
          </w:p>
        </w:tc>
        <w:tc>
          <w:tcPr>
            <w:tcW w:w="991" w:type="dxa"/>
            <w:tcBorders>
              <w:top w:val="nil"/>
              <w:left w:val="nil"/>
              <w:bottom w:val="single" w:sz="4" w:space="0" w:color="auto"/>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34</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Monmouth County</w:t>
            </w:r>
          </w:p>
        </w:tc>
        <w:tc>
          <w:tcPr>
            <w:tcW w:w="3252" w:type="dxa"/>
            <w:tcBorders>
              <w:top w:val="single" w:sz="4" w:space="0" w:color="auto"/>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Bayshore Health Care Center</w:t>
            </w:r>
          </w:p>
        </w:tc>
        <w:tc>
          <w:tcPr>
            <w:tcW w:w="1375" w:type="dxa"/>
            <w:tcBorders>
              <w:top w:val="single" w:sz="4" w:space="0" w:color="auto"/>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991" w:type="dxa"/>
            <w:tcBorders>
              <w:top w:val="single" w:sz="4" w:space="0" w:color="auto"/>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31</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Chapin Hill at Red Bank</w:t>
            </w: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50</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Laurel Bay Health &amp; Rehab. Center</w:t>
            </w: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5</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Monmouth Cc - John L. Montgomery Division</w:t>
            </w: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18</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single" w:sz="4" w:space="0" w:color="auto"/>
              <w:bottom w:val="nil"/>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Victoria Health Care Center</w:t>
            </w: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32</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single" w:sz="4"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Wedgewood Gardens Care Center</w:t>
            </w:r>
          </w:p>
        </w:tc>
        <w:tc>
          <w:tcPr>
            <w:tcW w:w="991" w:type="dxa"/>
            <w:tcBorders>
              <w:top w:val="nil"/>
              <w:left w:val="nil"/>
              <w:bottom w:val="single" w:sz="4" w:space="0" w:color="auto"/>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31</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Ocean County</w:t>
            </w:r>
          </w:p>
        </w:tc>
        <w:tc>
          <w:tcPr>
            <w:tcW w:w="4627" w:type="dxa"/>
            <w:gridSpan w:val="2"/>
            <w:tcBorders>
              <w:top w:val="single" w:sz="4" w:space="0" w:color="auto"/>
              <w:left w:val="single" w:sz="4"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szCs w:val="24"/>
              </w:rPr>
            </w:pPr>
            <w:r w:rsidRPr="00A257D9">
              <w:rPr>
                <w:rFonts w:eastAsia="Times New Roman"/>
                <w:szCs w:val="24"/>
              </w:rPr>
              <w:t>Manahawkin Convalescent Center</w:t>
            </w:r>
          </w:p>
        </w:tc>
        <w:tc>
          <w:tcPr>
            <w:tcW w:w="991" w:type="dxa"/>
            <w:tcBorders>
              <w:top w:val="single" w:sz="4" w:space="0" w:color="auto"/>
              <w:left w:val="nil"/>
              <w:bottom w:val="nil"/>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15</w:t>
            </w:r>
          </w:p>
        </w:tc>
      </w:tr>
      <w:tr w:rsidR="00A257D9" w:rsidRPr="00A257D9" w:rsidTr="00A257D9">
        <w:trPr>
          <w:trHeight w:val="315"/>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4627" w:type="dxa"/>
            <w:gridSpan w:val="2"/>
            <w:tcBorders>
              <w:top w:val="nil"/>
              <w:left w:val="single" w:sz="4" w:space="0" w:color="auto"/>
              <w:bottom w:val="single" w:sz="4"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szCs w:val="24"/>
              </w:rPr>
            </w:pPr>
            <w:r w:rsidRPr="00A257D9">
              <w:rPr>
                <w:rFonts w:eastAsia="Times New Roman"/>
                <w:szCs w:val="24"/>
              </w:rPr>
              <w:t>Shore Meadows Rehab. &amp; Nursing Center</w:t>
            </w:r>
          </w:p>
        </w:tc>
        <w:tc>
          <w:tcPr>
            <w:tcW w:w="991" w:type="dxa"/>
            <w:tcBorders>
              <w:top w:val="nil"/>
              <w:left w:val="nil"/>
              <w:bottom w:val="single" w:sz="4" w:space="0" w:color="auto"/>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color w:val="000000"/>
                <w:szCs w:val="24"/>
              </w:rPr>
            </w:pPr>
            <w:r w:rsidRPr="00A257D9">
              <w:rPr>
                <w:rFonts w:eastAsia="Times New Roman"/>
                <w:color w:val="000000"/>
                <w:szCs w:val="24"/>
              </w:rPr>
              <w:t>19</w:t>
            </w:r>
          </w:p>
        </w:tc>
      </w:tr>
      <w:tr w:rsidR="00A257D9" w:rsidRPr="00A257D9" w:rsidTr="00A257D9">
        <w:trPr>
          <w:trHeight w:val="330"/>
        </w:trPr>
        <w:tc>
          <w:tcPr>
            <w:tcW w:w="2102" w:type="dxa"/>
            <w:tcBorders>
              <w:top w:val="nil"/>
              <w:left w:val="single" w:sz="8" w:space="0" w:color="auto"/>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c>
          <w:tcPr>
            <w:tcW w:w="3252"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1375" w:type="dxa"/>
            <w:tcBorders>
              <w:top w:val="nil"/>
              <w:left w:val="nil"/>
              <w:bottom w:val="nil"/>
              <w:right w:val="nil"/>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p>
        </w:tc>
        <w:tc>
          <w:tcPr>
            <w:tcW w:w="991" w:type="dxa"/>
            <w:tcBorders>
              <w:top w:val="nil"/>
              <w:left w:val="nil"/>
              <w:bottom w:val="nil"/>
              <w:right w:val="single" w:sz="8" w:space="0" w:color="auto"/>
            </w:tcBorders>
            <w:shd w:val="clear" w:color="auto" w:fill="auto"/>
            <w:noWrap/>
            <w:vAlign w:val="bottom"/>
            <w:hideMark/>
          </w:tcPr>
          <w:p w:rsidR="00A257D9" w:rsidRPr="00A257D9" w:rsidRDefault="00A257D9" w:rsidP="00A257D9">
            <w:pPr>
              <w:spacing w:after="0" w:line="240" w:lineRule="auto"/>
              <w:rPr>
                <w:rFonts w:eastAsia="Times New Roman"/>
                <w:color w:val="000000"/>
                <w:szCs w:val="24"/>
              </w:rPr>
            </w:pPr>
            <w:r w:rsidRPr="00A257D9">
              <w:rPr>
                <w:rFonts w:eastAsia="Times New Roman"/>
                <w:color w:val="000000"/>
                <w:szCs w:val="24"/>
              </w:rPr>
              <w:t> </w:t>
            </w:r>
          </w:p>
        </w:tc>
      </w:tr>
      <w:tr w:rsidR="00A257D9" w:rsidRPr="00A257D9" w:rsidTr="00A257D9">
        <w:trPr>
          <w:trHeight w:val="330"/>
        </w:trPr>
        <w:tc>
          <w:tcPr>
            <w:tcW w:w="2102" w:type="dxa"/>
            <w:tcBorders>
              <w:top w:val="nil"/>
              <w:left w:val="single" w:sz="8" w:space="0" w:color="auto"/>
              <w:bottom w:val="single" w:sz="8"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All Four Counties</w:t>
            </w:r>
          </w:p>
        </w:tc>
        <w:tc>
          <w:tcPr>
            <w:tcW w:w="4627" w:type="dxa"/>
            <w:gridSpan w:val="2"/>
            <w:tcBorders>
              <w:top w:val="single" w:sz="8" w:space="0" w:color="auto"/>
              <w:left w:val="single" w:sz="8" w:space="0" w:color="auto"/>
              <w:bottom w:val="single" w:sz="8" w:space="0" w:color="auto"/>
              <w:right w:val="nil"/>
            </w:tcBorders>
            <w:shd w:val="clear" w:color="auto" w:fill="auto"/>
            <w:noWrap/>
            <w:vAlign w:val="center"/>
            <w:hideMark/>
          </w:tcPr>
          <w:p w:rsidR="00A257D9" w:rsidRPr="00A257D9" w:rsidRDefault="00A257D9" w:rsidP="00A257D9">
            <w:pPr>
              <w:spacing w:after="0" w:line="240" w:lineRule="auto"/>
              <w:rPr>
                <w:rFonts w:eastAsia="Times New Roman"/>
                <w:b/>
                <w:bCs/>
                <w:color w:val="000000"/>
                <w:szCs w:val="24"/>
              </w:rPr>
            </w:pPr>
            <w:r w:rsidRPr="00A257D9">
              <w:rPr>
                <w:rFonts w:eastAsia="Times New Roman"/>
                <w:b/>
                <w:bCs/>
                <w:color w:val="000000"/>
                <w:szCs w:val="24"/>
              </w:rPr>
              <w:t>Total Beds added since 1-1-2012</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A257D9" w:rsidRPr="00A257D9" w:rsidRDefault="00A257D9" w:rsidP="00A257D9">
            <w:pPr>
              <w:spacing w:after="0" w:line="240" w:lineRule="auto"/>
              <w:jc w:val="center"/>
              <w:rPr>
                <w:rFonts w:eastAsia="Times New Roman"/>
                <w:b/>
                <w:bCs/>
                <w:color w:val="000000"/>
                <w:szCs w:val="24"/>
              </w:rPr>
            </w:pPr>
            <w:r w:rsidRPr="00A257D9">
              <w:rPr>
                <w:rFonts w:eastAsia="Times New Roman"/>
                <w:b/>
                <w:bCs/>
                <w:color w:val="000000"/>
                <w:szCs w:val="24"/>
              </w:rPr>
              <w:t>423</w:t>
            </w:r>
          </w:p>
        </w:tc>
      </w:tr>
    </w:tbl>
    <w:p w:rsidR="009F0E49" w:rsidRPr="00A257D9" w:rsidRDefault="00A257D9" w:rsidP="0050033A">
      <w:pPr>
        <w:pStyle w:val="NoSpacing"/>
        <w:rPr>
          <w:sz w:val="22"/>
        </w:rPr>
      </w:pPr>
      <w:r w:rsidRPr="00A257D9">
        <w:rPr>
          <w:b/>
          <w:sz w:val="22"/>
        </w:rPr>
        <w:t xml:space="preserve">Data: </w:t>
      </w:r>
      <w:r w:rsidRPr="00A257D9">
        <w:rPr>
          <w:sz w:val="22"/>
        </w:rPr>
        <w:t>New Jersey Department of Health</w:t>
      </w: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F0E49" w:rsidRDefault="009F0E49" w:rsidP="0050033A">
      <w:pPr>
        <w:pStyle w:val="NoSpacing"/>
        <w:rPr>
          <w:b/>
          <w:szCs w:val="24"/>
        </w:rPr>
      </w:pPr>
    </w:p>
    <w:p w:rsidR="009744E5" w:rsidRDefault="009744E5" w:rsidP="0050033A">
      <w:pPr>
        <w:pStyle w:val="NoSpacing"/>
        <w:rPr>
          <w:b/>
          <w:szCs w:val="24"/>
        </w:rPr>
      </w:pPr>
    </w:p>
    <w:p w:rsidR="007474F5" w:rsidRDefault="007474F5" w:rsidP="0050033A">
      <w:pPr>
        <w:pStyle w:val="NoSpacing"/>
        <w:rPr>
          <w:szCs w:val="24"/>
        </w:rPr>
      </w:pPr>
      <w:r w:rsidRPr="007474F5">
        <w:rPr>
          <w:b/>
          <w:szCs w:val="24"/>
        </w:rPr>
        <w:lastRenderedPageBreak/>
        <w:t>Figure 1</w:t>
      </w:r>
      <w:r w:rsidR="009744E5">
        <w:rPr>
          <w:b/>
          <w:szCs w:val="24"/>
        </w:rPr>
        <w:t>1</w:t>
      </w:r>
      <w:r>
        <w:rPr>
          <w:b/>
          <w:sz w:val="28"/>
          <w:szCs w:val="28"/>
        </w:rPr>
        <w:t xml:space="preserve"> </w:t>
      </w:r>
      <w:r w:rsidRPr="007474F5">
        <w:rPr>
          <w:szCs w:val="24"/>
        </w:rPr>
        <w:t>calculates that by 2030 there will be 14,385 more Medicare post-hospital admissions for skilled nursing facility services in the four</w:t>
      </w:r>
      <w:r>
        <w:rPr>
          <w:szCs w:val="24"/>
        </w:rPr>
        <w:t>-</w:t>
      </w:r>
      <w:r w:rsidRPr="007474F5">
        <w:rPr>
          <w:szCs w:val="24"/>
        </w:rPr>
        <w:t xml:space="preserve">county area of Atlantic, Burlington, Monmouth, and Ocean </w:t>
      </w:r>
      <w:r>
        <w:rPr>
          <w:szCs w:val="24"/>
        </w:rPr>
        <w:t>c</w:t>
      </w:r>
      <w:r w:rsidRPr="007474F5">
        <w:rPr>
          <w:szCs w:val="24"/>
        </w:rPr>
        <w:t>ounties</w:t>
      </w:r>
      <w:r>
        <w:rPr>
          <w:szCs w:val="24"/>
        </w:rPr>
        <w:t xml:space="preserve">. In Ocean County alone there will be approximately 3,947 more admissions. </w:t>
      </w:r>
    </w:p>
    <w:p w:rsidR="007474F5" w:rsidRDefault="007474F5" w:rsidP="0050033A">
      <w:pPr>
        <w:pStyle w:val="NoSpacing"/>
        <w:rPr>
          <w:b/>
          <w:sz w:val="28"/>
          <w:szCs w:val="28"/>
        </w:rPr>
      </w:pPr>
    </w:p>
    <w:p w:rsidR="006D7058" w:rsidRDefault="0050033A" w:rsidP="0050033A">
      <w:pPr>
        <w:pStyle w:val="NoSpacing"/>
        <w:rPr>
          <w:b/>
          <w:sz w:val="28"/>
          <w:szCs w:val="28"/>
        </w:rPr>
      </w:pPr>
      <w:r w:rsidRPr="0050033A">
        <w:rPr>
          <w:b/>
          <w:sz w:val="28"/>
          <w:szCs w:val="28"/>
        </w:rPr>
        <w:t xml:space="preserve">Figure </w:t>
      </w:r>
      <w:r w:rsidR="007474F5">
        <w:rPr>
          <w:b/>
          <w:sz w:val="28"/>
          <w:szCs w:val="28"/>
        </w:rPr>
        <w:t>1</w:t>
      </w:r>
      <w:r w:rsidR="009744E5">
        <w:rPr>
          <w:b/>
          <w:sz w:val="28"/>
          <w:szCs w:val="28"/>
        </w:rPr>
        <w:t>1</w:t>
      </w:r>
      <w:r w:rsidRPr="0050033A">
        <w:rPr>
          <w:b/>
          <w:sz w:val="28"/>
          <w:szCs w:val="28"/>
        </w:rPr>
        <w:t>: Projection of Medicare Utilization in the Atlantic, Burlington, Monmouth</w:t>
      </w:r>
      <w:r w:rsidR="0075398B">
        <w:rPr>
          <w:b/>
          <w:sz w:val="28"/>
          <w:szCs w:val="28"/>
        </w:rPr>
        <w:t>,</w:t>
      </w:r>
      <w:r w:rsidRPr="0050033A">
        <w:rPr>
          <w:b/>
          <w:sz w:val="28"/>
          <w:szCs w:val="28"/>
        </w:rPr>
        <w:t xml:space="preserve"> and Ocean Counties by 2030</w:t>
      </w:r>
    </w:p>
    <w:tbl>
      <w:tblPr>
        <w:tblW w:w="9915" w:type="dxa"/>
        <w:tblInd w:w="93" w:type="dxa"/>
        <w:tblLook w:val="04A0" w:firstRow="1" w:lastRow="0" w:firstColumn="1" w:lastColumn="0" w:noHBand="0" w:noVBand="1"/>
      </w:tblPr>
      <w:tblGrid>
        <w:gridCol w:w="1240"/>
        <w:gridCol w:w="1280"/>
        <w:gridCol w:w="5390"/>
        <w:gridCol w:w="2005"/>
      </w:tblGrid>
      <w:tr w:rsidR="007474F5" w:rsidRPr="007474F5" w:rsidTr="0048158F">
        <w:trPr>
          <w:trHeight w:val="315"/>
        </w:trPr>
        <w:tc>
          <w:tcPr>
            <w:tcW w:w="12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7474F5" w:rsidRPr="007474F5" w:rsidRDefault="007474F5" w:rsidP="007474F5">
            <w:pPr>
              <w:spacing w:after="0" w:line="240" w:lineRule="auto"/>
              <w:rPr>
                <w:rFonts w:eastAsia="Times New Roman"/>
                <w:b/>
                <w:bCs/>
                <w:color w:val="FFFFFF"/>
                <w:szCs w:val="24"/>
              </w:rPr>
            </w:pPr>
            <w:r w:rsidRPr="007474F5">
              <w:rPr>
                <w:rFonts w:eastAsia="Times New Roman"/>
                <w:b/>
                <w:bCs/>
                <w:color w:val="FFFFFF"/>
                <w:szCs w:val="24"/>
              </w:rPr>
              <w:t>Rows</w:t>
            </w:r>
          </w:p>
        </w:tc>
        <w:tc>
          <w:tcPr>
            <w:tcW w:w="1280" w:type="dxa"/>
            <w:tcBorders>
              <w:top w:val="single" w:sz="4" w:space="0" w:color="auto"/>
              <w:left w:val="nil"/>
              <w:bottom w:val="single" w:sz="4" w:space="0" w:color="auto"/>
              <w:right w:val="single" w:sz="4" w:space="0" w:color="auto"/>
            </w:tcBorders>
            <w:shd w:val="clear" w:color="000000" w:fill="002060"/>
            <w:noWrap/>
            <w:vAlign w:val="center"/>
            <w:hideMark/>
          </w:tcPr>
          <w:p w:rsidR="007474F5" w:rsidRPr="007474F5" w:rsidRDefault="007474F5" w:rsidP="007474F5">
            <w:pPr>
              <w:spacing w:after="0" w:line="240" w:lineRule="auto"/>
              <w:jc w:val="center"/>
              <w:rPr>
                <w:rFonts w:eastAsia="Times New Roman"/>
                <w:b/>
                <w:bCs/>
                <w:color w:val="FFFFFF"/>
                <w:szCs w:val="24"/>
              </w:rPr>
            </w:pPr>
            <w:r w:rsidRPr="007474F5">
              <w:rPr>
                <w:rFonts w:eastAsia="Times New Roman"/>
                <w:b/>
                <w:bCs/>
                <w:color w:val="FFFFFF"/>
                <w:szCs w:val="24"/>
              </w:rPr>
              <w:t>Data</w:t>
            </w:r>
          </w:p>
        </w:tc>
        <w:tc>
          <w:tcPr>
            <w:tcW w:w="5390" w:type="dxa"/>
            <w:tcBorders>
              <w:top w:val="single" w:sz="4" w:space="0" w:color="auto"/>
              <w:left w:val="nil"/>
              <w:bottom w:val="single" w:sz="4" w:space="0" w:color="auto"/>
              <w:right w:val="single" w:sz="4" w:space="0" w:color="auto"/>
            </w:tcBorders>
            <w:shd w:val="clear" w:color="000000" w:fill="002060"/>
            <w:noWrap/>
            <w:vAlign w:val="center"/>
            <w:hideMark/>
          </w:tcPr>
          <w:p w:rsidR="007474F5" w:rsidRPr="007474F5" w:rsidRDefault="007474F5" w:rsidP="007474F5">
            <w:pPr>
              <w:spacing w:after="0" w:line="240" w:lineRule="auto"/>
              <w:jc w:val="center"/>
              <w:rPr>
                <w:rFonts w:eastAsia="Times New Roman"/>
                <w:b/>
                <w:bCs/>
                <w:color w:val="FFFFFF"/>
                <w:szCs w:val="24"/>
              </w:rPr>
            </w:pPr>
            <w:r w:rsidRPr="007474F5">
              <w:rPr>
                <w:rFonts w:eastAsia="Times New Roman"/>
                <w:b/>
                <w:bCs/>
                <w:color w:val="FFFFFF"/>
                <w:szCs w:val="24"/>
              </w:rPr>
              <w:t>Name of Data</w:t>
            </w:r>
          </w:p>
        </w:tc>
        <w:tc>
          <w:tcPr>
            <w:tcW w:w="2005" w:type="dxa"/>
            <w:tcBorders>
              <w:top w:val="single" w:sz="4" w:space="0" w:color="auto"/>
              <w:left w:val="nil"/>
              <w:bottom w:val="single" w:sz="4" w:space="0" w:color="auto"/>
              <w:right w:val="single" w:sz="4" w:space="0" w:color="auto"/>
            </w:tcBorders>
            <w:shd w:val="clear" w:color="000000" w:fill="002060"/>
            <w:noWrap/>
            <w:vAlign w:val="bottom"/>
            <w:hideMark/>
          </w:tcPr>
          <w:p w:rsidR="007474F5" w:rsidRPr="007474F5" w:rsidRDefault="007474F5" w:rsidP="007474F5">
            <w:pPr>
              <w:spacing w:after="0" w:line="240" w:lineRule="auto"/>
              <w:rPr>
                <w:rFonts w:eastAsia="Times New Roman"/>
                <w:b/>
                <w:bCs/>
                <w:color w:val="FFFFFF"/>
                <w:szCs w:val="24"/>
              </w:rPr>
            </w:pPr>
            <w:r w:rsidRPr="007474F5">
              <w:rPr>
                <w:rFonts w:eastAsia="Times New Roman"/>
                <w:b/>
                <w:bCs/>
                <w:color w:val="FFFFFF"/>
                <w:szCs w:val="24"/>
              </w:rPr>
              <w:t>Data Source</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1</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1,398,000</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Medicare beneficiaries</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2012 CMS Data for NJ</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2</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377,092</w:t>
            </w:r>
          </w:p>
        </w:tc>
        <w:tc>
          <w:tcPr>
            <w:tcW w:w="539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Hospital discharges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2012 CMS Data for NJ</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3</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73,524</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Persons admitted to SNFs</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2012 CMS Data for NJ</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4</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109,708</w:t>
            </w:r>
          </w:p>
        </w:tc>
        <w:tc>
          <w:tcPr>
            <w:tcW w:w="539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Admissions to SNFs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2012 CMS Data for NJ</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5</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5.26%</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Percent of persons admitted to SNFS</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3/Row 1</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6</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29.09%</w:t>
            </w:r>
          </w:p>
        </w:tc>
        <w:tc>
          <w:tcPr>
            <w:tcW w:w="539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SNF admits over discharges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4/Row 2</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7</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color w:val="000000"/>
                <w:szCs w:val="24"/>
              </w:rPr>
            </w:pPr>
            <w:r w:rsidRPr="007474F5">
              <w:rPr>
                <w:rFonts w:eastAsia="Times New Roman"/>
                <w:color w:val="000000"/>
                <w:szCs w:val="24"/>
              </w:rPr>
              <w:t>1.49</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Ratio admissions to persons</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4/Row 3</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8</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183,313</w:t>
            </w:r>
          </w:p>
        </w:tc>
        <w:tc>
          <w:tcPr>
            <w:tcW w:w="539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Older population increase in the four Counties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Figure 1</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9</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 xml:space="preserve">9,641 </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Yearly Increase in number of persons admitted to SNFs</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5*Row 8</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10</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 xml:space="preserve">14,385 </w:t>
            </w:r>
          </w:p>
        </w:tc>
        <w:tc>
          <w:tcPr>
            <w:tcW w:w="539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Yearly increase in SNF Admissions in the four counties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7*Row 9</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11</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50,296</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color w:val="000000"/>
                <w:szCs w:val="24"/>
              </w:rPr>
            </w:pPr>
            <w:r w:rsidRPr="007474F5">
              <w:rPr>
                <w:rFonts w:eastAsia="Times New Roman"/>
                <w:color w:val="000000"/>
                <w:szCs w:val="24"/>
              </w:rPr>
              <w:t>Older population increase in Ocean County</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Figure 1</w:t>
            </w:r>
          </w:p>
        </w:tc>
      </w:tr>
      <w:tr w:rsidR="007474F5" w:rsidRPr="007474F5" w:rsidTr="0048158F">
        <w:trPr>
          <w:trHeight w:val="675"/>
        </w:trPr>
        <w:tc>
          <w:tcPr>
            <w:tcW w:w="1240" w:type="dxa"/>
            <w:tcBorders>
              <w:top w:val="nil"/>
              <w:left w:val="single" w:sz="4" w:space="0" w:color="auto"/>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12</w:t>
            </w:r>
          </w:p>
        </w:tc>
        <w:tc>
          <w:tcPr>
            <w:tcW w:w="1280"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b/>
                <w:szCs w:val="24"/>
              </w:rPr>
            </w:pPr>
            <w:r w:rsidRPr="007474F5">
              <w:rPr>
                <w:rFonts w:eastAsia="Times New Roman"/>
                <w:b/>
                <w:szCs w:val="24"/>
              </w:rPr>
              <w:t>2,645</w:t>
            </w:r>
          </w:p>
        </w:tc>
        <w:tc>
          <w:tcPr>
            <w:tcW w:w="5390" w:type="dxa"/>
            <w:tcBorders>
              <w:top w:val="nil"/>
              <w:left w:val="nil"/>
              <w:bottom w:val="single" w:sz="4" w:space="0" w:color="auto"/>
              <w:right w:val="single" w:sz="4" w:space="0" w:color="auto"/>
            </w:tcBorders>
            <w:shd w:val="clear" w:color="000000" w:fill="B8CCE4"/>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Yearly Increase in number of Ocean County persons admitted to SNFs</w:t>
            </w:r>
          </w:p>
        </w:tc>
        <w:tc>
          <w:tcPr>
            <w:tcW w:w="2005" w:type="dxa"/>
            <w:tcBorders>
              <w:top w:val="nil"/>
              <w:left w:val="nil"/>
              <w:bottom w:val="single" w:sz="4" w:space="0" w:color="auto"/>
              <w:right w:val="single" w:sz="4" w:space="0" w:color="auto"/>
            </w:tcBorders>
            <w:shd w:val="clear" w:color="000000" w:fill="B8CCE4"/>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5*Row 11</w:t>
            </w:r>
          </w:p>
        </w:tc>
      </w:tr>
      <w:tr w:rsidR="007474F5" w:rsidRPr="007474F5" w:rsidTr="0048158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Row 13</w:t>
            </w:r>
          </w:p>
        </w:tc>
        <w:tc>
          <w:tcPr>
            <w:tcW w:w="128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b/>
                <w:szCs w:val="24"/>
              </w:rPr>
            </w:pPr>
            <w:r w:rsidRPr="007474F5">
              <w:rPr>
                <w:rFonts w:eastAsia="Times New Roman"/>
                <w:b/>
                <w:szCs w:val="24"/>
              </w:rPr>
              <w:t>3,947</w:t>
            </w:r>
          </w:p>
        </w:tc>
        <w:tc>
          <w:tcPr>
            <w:tcW w:w="5390"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rPr>
                <w:rFonts w:eastAsia="Times New Roman"/>
                <w:szCs w:val="24"/>
              </w:rPr>
            </w:pPr>
            <w:r w:rsidRPr="007474F5">
              <w:rPr>
                <w:rFonts w:eastAsia="Times New Roman"/>
                <w:szCs w:val="24"/>
              </w:rPr>
              <w:t>Yearly increase in SNF Admissions in Ocean County</w:t>
            </w:r>
          </w:p>
        </w:tc>
        <w:tc>
          <w:tcPr>
            <w:tcW w:w="2005" w:type="dxa"/>
            <w:tcBorders>
              <w:top w:val="nil"/>
              <w:left w:val="nil"/>
              <w:bottom w:val="single" w:sz="4" w:space="0" w:color="auto"/>
              <w:right w:val="single" w:sz="4" w:space="0" w:color="auto"/>
            </w:tcBorders>
            <w:shd w:val="clear" w:color="auto" w:fill="auto"/>
            <w:noWrap/>
            <w:vAlign w:val="center"/>
            <w:hideMark/>
          </w:tcPr>
          <w:p w:rsidR="007474F5" w:rsidRPr="007474F5" w:rsidRDefault="007474F5" w:rsidP="007474F5">
            <w:pPr>
              <w:spacing w:after="0" w:line="240" w:lineRule="auto"/>
              <w:jc w:val="center"/>
              <w:rPr>
                <w:rFonts w:eastAsia="Times New Roman"/>
                <w:szCs w:val="24"/>
              </w:rPr>
            </w:pPr>
            <w:r w:rsidRPr="007474F5">
              <w:rPr>
                <w:rFonts w:eastAsia="Times New Roman"/>
                <w:szCs w:val="24"/>
              </w:rPr>
              <w:t>Row 7*Row 12</w:t>
            </w:r>
          </w:p>
        </w:tc>
      </w:tr>
    </w:tbl>
    <w:p w:rsidR="006D7058" w:rsidRPr="0050033A" w:rsidRDefault="0050033A" w:rsidP="0050033A">
      <w:pPr>
        <w:pStyle w:val="NoSpacing"/>
        <w:rPr>
          <w:sz w:val="22"/>
        </w:rPr>
      </w:pPr>
      <w:r w:rsidRPr="0050033A">
        <w:rPr>
          <w:b/>
          <w:sz w:val="22"/>
        </w:rPr>
        <w:t>Data:</w:t>
      </w:r>
      <w:r w:rsidRPr="0050033A">
        <w:rPr>
          <w:sz w:val="22"/>
        </w:rPr>
        <w:t xml:space="preserve"> Centers for Medicare and Medicare Services. </w:t>
      </w:r>
    </w:p>
    <w:p w:rsidR="007474F5" w:rsidRDefault="00DF494D" w:rsidP="007474F5">
      <w:pPr>
        <w:pStyle w:val="NoSpacing"/>
        <w:rPr>
          <w:rStyle w:val="Hyperlink"/>
          <w:sz w:val="22"/>
        </w:rPr>
      </w:pPr>
      <w:hyperlink r:id="rId21" w:history="1">
        <w:r w:rsidR="0050033A" w:rsidRPr="0050033A">
          <w:rPr>
            <w:rStyle w:val="Hyperlink"/>
            <w:sz w:val="22"/>
          </w:rPr>
          <w:t>https://www.cms.gov/Research-Statistics-Data-and-Systems/Statistics-Trends-and-Reports/MedicareMedicaidStatSupp/2013.html</w:t>
        </w:r>
      </w:hyperlink>
    </w:p>
    <w:p w:rsidR="007474F5" w:rsidRDefault="007474F5" w:rsidP="007474F5">
      <w:pPr>
        <w:pStyle w:val="NoSpacing"/>
        <w:rPr>
          <w:rStyle w:val="Hyperlink"/>
          <w:sz w:val="22"/>
        </w:rPr>
      </w:pPr>
    </w:p>
    <w:p w:rsidR="00B245E1" w:rsidRDefault="00B245E1" w:rsidP="007474F5">
      <w:pPr>
        <w:pStyle w:val="NoSpacing"/>
        <w:jc w:val="center"/>
        <w:rPr>
          <w:rStyle w:val="Hyperlink"/>
          <w:b/>
          <w:color w:val="auto"/>
          <w:sz w:val="22"/>
          <w:u w:val="none"/>
        </w:rPr>
      </w:pPr>
    </w:p>
    <w:p w:rsidR="00A257D9" w:rsidRPr="00A257D9" w:rsidRDefault="006D015A" w:rsidP="0048158F">
      <w:pPr>
        <w:pStyle w:val="NoSpacing"/>
        <w:jc w:val="both"/>
        <w:rPr>
          <w:rStyle w:val="Hyperlink"/>
          <w:b/>
          <w:color w:val="auto"/>
          <w:szCs w:val="24"/>
          <w:u w:val="none"/>
        </w:rPr>
      </w:pPr>
      <w:r w:rsidRPr="00A257D9">
        <w:rPr>
          <w:rStyle w:val="Hyperlink"/>
          <w:b/>
          <w:color w:val="auto"/>
          <w:szCs w:val="24"/>
          <w:u w:val="none"/>
        </w:rPr>
        <w:t xml:space="preserve">The proposed program in Toms River will use single occupancy rooms. All hospitals built in New Jersey in the last decade have been built with single occupancy rooms and there are clear public preferences for such rooms. </w:t>
      </w:r>
    </w:p>
    <w:p w:rsidR="00A257D9" w:rsidRPr="00A257D9" w:rsidRDefault="00A257D9" w:rsidP="0048158F">
      <w:pPr>
        <w:pStyle w:val="NoSpacing"/>
        <w:jc w:val="both"/>
        <w:rPr>
          <w:rStyle w:val="Hyperlink"/>
          <w:b/>
          <w:color w:val="auto"/>
          <w:szCs w:val="24"/>
          <w:u w:val="none"/>
        </w:rPr>
      </w:pPr>
    </w:p>
    <w:p w:rsidR="00B245E1" w:rsidRPr="0016568D" w:rsidRDefault="006D015A" w:rsidP="0048158F">
      <w:pPr>
        <w:pStyle w:val="NoSpacing"/>
        <w:jc w:val="both"/>
        <w:rPr>
          <w:rStyle w:val="Hyperlink"/>
          <w:b/>
          <w:color w:val="auto"/>
          <w:szCs w:val="24"/>
          <w:u w:val="none"/>
        </w:rPr>
      </w:pPr>
      <w:r w:rsidRPr="0016568D">
        <w:rPr>
          <w:rStyle w:val="Hyperlink"/>
          <w:b/>
          <w:color w:val="auto"/>
          <w:szCs w:val="24"/>
          <w:u w:val="none"/>
        </w:rPr>
        <w:t>Figure 1</w:t>
      </w:r>
      <w:r w:rsidR="0016568D" w:rsidRPr="0016568D">
        <w:rPr>
          <w:rStyle w:val="Hyperlink"/>
          <w:b/>
          <w:color w:val="auto"/>
          <w:szCs w:val="24"/>
          <w:u w:val="none"/>
        </w:rPr>
        <w:t>2</w:t>
      </w:r>
      <w:r w:rsidRPr="0016568D">
        <w:rPr>
          <w:rStyle w:val="Hyperlink"/>
          <w:b/>
          <w:color w:val="auto"/>
          <w:szCs w:val="24"/>
          <w:u w:val="none"/>
        </w:rPr>
        <w:t xml:space="preserve"> </w:t>
      </w:r>
      <w:r w:rsidRPr="0016568D">
        <w:rPr>
          <w:rStyle w:val="Hyperlink"/>
          <w:color w:val="auto"/>
          <w:szCs w:val="24"/>
          <w:u w:val="none"/>
        </w:rPr>
        <w:t xml:space="preserve">discusses the characteristics of single occupancy rooms and </w:t>
      </w:r>
      <w:r w:rsidR="001C69FA">
        <w:rPr>
          <w:rStyle w:val="Hyperlink"/>
          <w:color w:val="auto"/>
          <w:szCs w:val="24"/>
          <w:u w:val="none"/>
        </w:rPr>
        <w:t>its advantages indicate</w:t>
      </w:r>
      <w:r w:rsidRPr="0016568D">
        <w:rPr>
          <w:rStyle w:val="Hyperlink"/>
          <w:color w:val="auto"/>
          <w:szCs w:val="24"/>
          <w:u w:val="none"/>
        </w:rPr>
        <w:t xml:space="preserve"> why contemporary medical architecture emphasizes such rooms.  </w:t>
      </w:r>
    </w:p>
    <w:p w:rsidR="00B245E1" w:rsidRDefault="00B245E1" w:rsidP="006D015A">
      <w:pPr>
        <w:pStyle w:val="NoSpacing"/>
        <w:rPr>
          <w:rStyle w:val="Hyperlink"/>
          <w:b/>
          <w:color w:val="auto"/>
          <w:sz w:val="22"/>
          <w:u w:val="none"/>
        </w:rPr>
      </w:pPr>
    </w:p>
    <w:p w:rsidR="00B245E1" w:rsidRDefault="00B245E1" w:rsidP="006D015A">
      <w:pPr>
        <w:pStyle w:val="NoSpacing"/>
        <w:rPr>
          <w:rStyle w:val="Hyperlink"/>
          <w:b/>
          <w:color w:val="auto"/>
          <w:sz w:val="22"/>
          <w:u w:val="none"/>
        </w:rPr>
      </w:pPr>
    </w:p>
    <w:p w:rsidR="00B245E1" w:rsidRDefault="00B245E1" w:rsidP="006D015A">
      <w:pPr>
        <w:pStyle w:val="NoSpacing"/>
        <w:rPr>
          <w:rStyle w:val="Hyperlink"/>
          <w:b/>
          <w:color w:val="auto"/>
          <w:sz w:val="22"/>
          <w:u w:val="none"/>
        </w:rPr>
      </w:pPr>
    </w:p>
    <w:p w:rsidR="00B245E1" w:rsidRDefault="00B245E1" w:rsidP="006D015A">
      <w:pPr>
        <w:pStyle w:val="NoSpacing"/>
        <w:rPr>
          <w:rStyle w:val="Hyperlink"/>
          <w:b/>
          <w:color w:val="auto"/>
          <w:sz w:val="22"/>
          <w:u w:val="none"/>
        </w:rPr>
      </w:pPr>
    </w:p>
    <w:p w:rsidR="00B245E1" w:rsidRDefault="00B245E1" w:rsidP="006D015A">
      <w:pPr>
        <w:pStyle w:val="NoSpacing"/>
        <w:rPr>
          <w:rStyle w:val="Hyperlink"/>
          <w:b/>
          <w:color w:val="auto"/>
          <w:sz w:val="22"/>
          <w:u w:val="none"/>
        </w:rPr>
      </w:pPr>
    </w:p>
    <w:p w:rsidR="00B245E1" w:rsidRPr="0016568D" w:rsidRDefault="00B245E1" w:rsidP="00B245E1">
      <w:pPr>
        <w:pStyle w:val="NoSpacing"/>
        <w:rPr>
          <w:rStyle w:val="Hyperlink"/>
          <w:b/>
          <w:color w:val="auto"/>
          <w:sz w:val="28"/>
          <w:szCs w:val="28"/>
          <w:u w:val="none"/>
        </w:rPr>
      </w:pPr>
      <w:r w:rsidRPr="0016568D">
        <w:rPr>
          <w:rStyle w:val="Hyperlink"/>
          <w:b/>
          <w:color w:val="auto"/>
          <w:sz w:val="28"/>
          <w:szCs w:val="28"/>
          <w:u w:val="none"/>
        </w:rPr>
        <w:t>Figure 1</w:t>
      </w:r>
      <w:r w:rsidR="0016568D" w:rsidRPr="0016568D">
        <w:rPr>
          <w:rStyle w:val="Hyperlink"/>
          <w:b/>
          <w:color w:val="auto"/>
          <w:sz w:val="28"/>
          <w:szCs w:val="28"/>
          <w:u w:val="none"/>
        </w:rPr>
        <w:t>2</w:t>
      </w:r>
      <w:r w:rsidRPr="0016568D">
        <w:rPr>
          <w:rStyle w:val="Hyperlink"/>
          <w:b/>
          <w:color w:val="auto"/>
          <w:sz w:val="28"/>
          <w:szCs w:val="28"/>
          <w:u w:val="none"/>
        </w:rPr>
        <w:t>: Beneficial Characteristics of Private Rooms</w:t>
      </w:r>
    </w:p>
    <w:tbl>
      <w:tblPr>
        <w:tblW w:w="9370" w:type="dxa"/>
        <w:tblInd w:w="103" w:type="dxa"/>
        <w:tblLook w:val="04A0" w:firstRow="1" w:lastRow="0" w:firstColumn="1" w:lastColumn="0" w:noHBand="0" w:noVBand="1"/>
      </w:tblPr>
      <w:tblGrid>
        <w:gridCol w:w="9370"/>
      </w:tblGrid>
      <w:tr w:rsidR="00B245E1" w:rsidRPr="00B245E1" w:rsidTr="00B245E1">
        <w:trPr>
          <w:trHeight w:val="600"/>
        </w:trPr>
        <w:tc>
          <w:tcPr>
            <w:tcW w:w="9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5E1" w:rsidRPr="0016568D" w:rsidRDefault="00B245E1" w:rsidP="00B245E1">
            <w:pPr>
              <w:spacing w:after="0" w:line="240" w:lineRule="auto"/>
              <w:jc w:val="both"/>
              <w:rPr>
                <w:rFonts w:eastAsia="Times New Roman"/>
                <w:szCs w:val="24"/>
              </w:rPr>
            </w:pPr>
            <w:r w:rsidRPr="0016568D">
              <w:rPr>
                <w:rFonts w:eastAsia="Times New Roman"/>
                <w:szCs w:val="24"/>
              </w:rPr>
              <w:t>The private room controls infection risk by minimizing the additional traffic and infection complications that come with two residents to a room.</w:t>
            </w:r>
          </w:p>
        </w:tc>
      </w:tr>
      <w:tr w:rsidR="00B245E1" w:rsidRPr="00B245E1" w:rsidTr="00A257D9">
        <w:trPr>
          <w:trHeight w:val="900"/>
        </w:trPr>
        <w:tc>
          <w:tcPr>
            <w:tcW w:w="937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245E1" w:rsidRPr="0016568D" w:rsidRDefault="00B245E1" w:rsidP="00FF4397">
            <w:pPr>
              <w:spacing w:after="0" w:line="240" w:lineRule="auto"/>
              <w:jc w:val="both"/>
              <w:rPr>
                <w:rFonts w:eastAsia="Times New Roman"/>
                <w:szCs w:val="24"/>
              </w:rPr>
            </w:pPr>
            <w:r w:rsidRPr="0016568D">
              <w:rPr>
                <w:rFonts w:eastAsia="Times New Roman"/>
                <w:szCs w:val="24"/>
              </w:rPr>
              <w:t>The room has many small design features which minimize infection. For example, a wash sink is built near the door, but the sink is automatic and has no faucet handles thus minimizing the transmission of bacteria and other organisms from hand to hand</w:t>
            </w:r>
            <w:r w:rsidR="00FF4397" w:rsidRPr="0016568D">
              <w:rPr>
                <w:rFonts w:eastAsia="Times New Roman"/>
                <w:szCs w:val="24"/>
              </w:rPr>
              <w:t xml:space="preserve">. </w:t>
            </w:r>
          </w:p>
        </w:tc>
      </w:tr>
      <w:tr w:rsidR="00B245E1" w:rsidRPr="00B245E1" w:rsidTr="00A257D9">
        <w:trPr>
          <w:trHeight w:val="900"/>
        </w:trPr>
        <w:tc>
          <w:tcPr>
            <w:tcW w:w="9370" w:type="dxa"/>
            <w:tcBorders>
              <w:top w:val="nil"/>
              <w:left w:val="single" w:sz="4" w:space="0" w:color="auto"/>
              <w:bottom w:val="single" w:sz="4" w:space="0" w:color="auto"/>
              <w:right w:val="single" w:sz="4" w:space="0" w:color="auto"/>
            </w:tcBorders>
            <w:shd w:val="clear" w:color="auto" w:fill="auto"/>
            <w:noWrap/>
            <w:vAlign w:val="center"/>
          </w:tcPr>
          <w:p w:rsidR="00B245E1" w:rsidRPr="0016568D" w:rsidRDefault="00B245E1" w:rsidP="00961BF6">
            <w:pPr>
              <w:spacing w:after="0" w:line="240" w:lineRule="auto"/>
              <w:jc w:val="both"/>
              <w:rPr>
                <w:rFonts w:eastAsia="Times New Roman"/>
                <w:szCs w:val="24"/>
              </w:rPr>
            </w:pPr>
            <w:r w:rsidRPr="0016568D">
              <w:rPr>
                <w:rFonts w:eastAsia="Times New Roman"/>
                <w:szCs w:val="24"/>
              </w:rPr>
              <w:t xml:space="preserve">The rooms are family friendly and are designed to encourage family participation in the care of the person. The rooms are built with fold out sofas that can be used as a bed and may have reclining chairs with big comfortable cushions. They have refrigerators </w:t>
            </w:r>
            <w:r w:rsidR="00961BF6">
              <w:rPr>
                <w:rFonts w:eastAsia="Times New Roman"/>
                <w:szCs w:val="24"/>
              </w:rPr>
              <w:t xml:space="preserve">for use by family members where they can bring their own </w:t>
            </w:r>
            <w:r w:rsidRPr="0016568D">
              <w:rPr>
                <w:rFonts w:eastAsia="Times New Roman"/>
                <w:szCs w:val="24"/>
              </w:rPr>
              <w:t>food and drink</w:t>
            </w:r>
            <w:r w:rsidR="00961BF6">
              <w:rPr>
                <w:rFonts w:eastAsia="Times New Roman"/>
                <w:szCs w:val="24"/>
              </w:rPr>
              <w:t>s.</w:t>
            </w:r>
            <w:r w:rsidR="001C69FA">
              <w:rPr>
                <w:rFonts w:eastAsia="Times New Roman"/>
                <w:szCs w:val="24"/>
              </w:rPr>
              <w:t xml:space="preserve"> Break rooms for families are often built with vending machines, a microwave, and computer access </w:t>
            </w:r>
            <w:r w:rsidR="00442B24">
              <w:rPr>
                <w:rFonts w:eastAsia="Times New Roman"/>
                <w:szCs w:val="24"/>
              </w:rPr>
              <w:t>encouraging family</w:t>
            </w:r>
            <w:r w:rsidR="001C69FA">
              <w:rPr>
                <w:rFonts w:eastAsia="Times New Roman"/>
                <w:szCs w:val="24"/>
              </w:rPr>
              <w:t xml:space="preserve"> members </w:t>
            </w:r>
            <w:r w:rsidR="00961BF6">
              <w:rPr>
                <w:rFonts w:eastAsia="Times New Roman"/>
                <w:szCs w:val="24"/>
              </w:rPr>
              <w:t>to</w:t>
            </w:r>
            <w:r w:rsidR="001C69FA">
              <w:rPr>
                <w:rFonts w:eastAsia="Times New Roman"/>
                <w:szCs w:val="24"/>
              </w:rPr>
              <w:t xml:space="preserve"> stay longer</w:t>
            </w:r>
            <w:r w:rsidR="00961BF6">
              <w:rPr>
                <w:rFonts w:eastAsia="Times New Roman"/>
                <w:szCs w:val="24"/>
              </w:rPr>
              <w:t>.</w:t>
            </w:r>
          </w:p>
        </w:tc>
      </w:tr>
      <w:tr w:rsidR="00B245E1" w:rsidRPr="00B245E1" w:rsidTr="00A257D9">
        <w:trPr>
          <w:trHeight w:val="900"/>
        </w:trPr>
        <w:tc>
          <w:tcPr>
            <w:tcW w:w="9370"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B245E1" w:rsidRPr="0016568D" w:rsidRDefault="00A257D9" w:rsidP="00B245E1">
            <w:pPr>
              <w:spacing w:after="0" w:line="240" w:lineRule="auto"/>
              <w:jc w:val="both"/>
              <w:rPr>
                <w:rFonts w:eastAsia="Times New Roman"/>
                <w:szCs w:val="24"/>
              </w:rPr>
            </w:pPr>
            <w:r w:rsidRPr="00A257D9">
              <w:rPr>
                <w:rFonts w:eastAsia="Times New Roman"/>
                <w:szCs w:val="24"/>
              </w:rPr>
              <w:t>The room is private and permits private conversations with the physicians and nurses as there is the possibility that patient conversations can be inhibited when third parties are present;</w:t>
            </w:r>
          </w:p>
        </w:tc>
      </w:tr>
      <w:tr w:rsidR="00B245E1" w:rsidRPr="00B245E1" w:rsidTr="00A257D9">
        <w:trPr>
          <w:trHeight w:val="900"/>
        </w:trPr>
        <w:tc>
          <w:tcPr>
            <w:tcW w:w="9370" w:type="dxa"/>
            <w:tcBorders>
              <w:top w:val="nil"/>
              <w:left w:val="single" w:sz="4" w:space="0" w:color="auto"/>
              <w:bottom w:val="single" w:sz="4" w:space="0" w:color="auto"/>
              <w:right w:val="single" w:sz="4" w:space="0" w:color="auto"/>
            </w:tcBorders>
            <w:shd w:val="clear" w:color="auto" w:fill="auto"/>
            <w:noWrap/>
            <w:vAlign w:val="center"/>
            <w:hideMark/>
          </w:tcPr>
          <w:p w:rsidR="00B245E1" w:rsidRPr="0016568D" w:rsidRDefault="00FF4397" w:rsidP="00B245E1">
            <w:pPr>
              <w:spacing w:after="0" w:line="240" w:lineRule="auto"/>
              <w:jc w:val="both"/>
              <w:rPr>
                <w:rFonts w:eastAsia="Times New Roman"/>
                <w:szCs w:val="24"/>
              </w:rPr>
            </w:pPr>
            <w:r w:rsidRPr="0016568D">
              <w:rPr>
                <w:rFonts w:eastAsia="Times New Roman"/>
                <w:szCs w:val="24"/>
              </w:rPr>
              <w:t>The technology of the private room is different. A computer is placed in the room so changes can be entered into the medical record immediately rather than later The large television screens are also linked to the acute care center’s electronic records so patient information such as x-rays can be shown on the screen.</w:t>
            </w:r>
          </w:p>
        </w:tc>
      </w:tr>
      <w:tr w:rsidR="00B245E1" w:rsidRPr="00B245E1" w:rsidTr="00A257D9">
        <w:trPr>
          <w:trHeight w:val="600"/>
        </w:trPr>
        <w:tc>
          <w:tcPr>
            <w:tcW w:w="937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245E1" w:rsidRPr="0016568D" w:rsidRDefault="00FF4397" w:rsidP="00B245E1">
            <w:pPr>
              <w:spacing w:after="0" w:line="240" w:lineRule="auto"/>
              <w:jc w:val="both"/>
              <w:rPr>
                <w:rFonts w:eastAsia="Times New Roman"/>
                <w:szCs w:val="24"/>
              </w:rPr>
            </w:pPr>
            <w:r w:rsidRPr="0016568D">
              <w:rPr>
                <w:rFonts w:eastAsia="Times New Roman"/>
                <w:szCs w:val="24"/>
              </w:rPr>
              <w:t>The room is designed to accommodate the person. For example, beds and bathrooms are built on the same wall to minimize falls and there is often a grab bar on the wall from the bed to the bathroom. Windows are large and permit ample light and open views</w:t>
            </w:r>
          </w:p>
        </w:tc>
      </w:tr>
    </w:tbl>
    <w:p w:rsidR="00B245E1" w:rsidRDefault="00B245E1" w:rsidP="007474F5">
      <w:pPr>
        <w:pStyle w:val="NoSpacing"/>
        <w:jc w:val="center"/>
        <w:rPr>
          <w:rStyle w:val="Hyperlink"/>
          <w:b/>
          <w:color w:val="auto"/>
          <w:sz w:val="22"/>
          <w:u w:val="none"/>
        </w:rPr>
      </w:pPr>
    </w:p>
    <w:p w:rsidR="00B245E1" w:rsidRDefault="00B245E1" w:rsidP="007474F5">
      <w:pPr>
        <w:pStyle w:val="NoSpacing"/>
        <w:jc w:val="center"/>
        <w:rPr>
          <w:rStyle w:val="Hyperlink"/>
          <w:b/>
          <w:color w:val="auto"/>
          <w:sz w:val="22"/>
          <w:u w:val="none"/>
        </w:rPr>
      </w:pPr>
    </w:p>
    <w:p w:rsidR="00B245E1" w:rsidRDefault="00B245E1" w:rsidP="007474F5">
      <w:pPr>
        <w:pStyle w:val="NoSpacing"/>
        <w:jc w:val="center"/>
        <w:rPr>
          <w:rStyle w:val="Hyperlink"/>
          <w:b/>
          <w:color w:val="auto"/>
          <w:sz w:val="22"/>
          <w:u w:val="none"/>
        </w:rPr>
      </w:pPr>
    </w:p>
    <w:p w:rsidR="007474F5" w:rsidRPr="007474F5" w:rsidRDefault="0016568D" w:rsidP="00F00AF5">
      <w:pPr>
        <w:pStyle w:val="NoSpacing"/>
        <w:rPr>
          <w:b/>
          <w:szCs w:val="24"/>
        </w:rPr>
      </w:pPr>
      <w:r>
        <w:rPr>
          <w:rStyle w:val="Hyperlink"/>
          <w:b/>
          <w:color w:val="auto"/>
          <w:sz w:val="22"/>
          <w:u w:val="none"/>
        </w:rPr>
        <w:t>Conclusions</w:t>
      </w:r>
    </w:p>
    <w:p w:rsidR="006D7058" w:rsidRDefault="006D7058" w:rsidP="0050033A">
      <w:pPr>
        <w:pStyle w:val="NoSpacing"/>
        <w:rPr>
          <w:sz w:val="22"/>
        </w:rPr>
      </w:pPr>
    </w:p>
    <w:p w:rsidR="0016568D" w:rsidRPr="009B0FC0" w:rsidRDefault="0016568D" w:rsidP="0016568D">
      <w:pPr>
        <w:pStyle w:val="NoSpacing"/>
        <w:jc w:val="both"/>
      </w:pPr>
      <w:r w:rsidRPr="009B0FC0">
        <w:t>There is a demonstrable need for the program in Tom</w:t>
      </w:r>
      <w:r w:rsidR="000E59C4">
        <w:t>s</w:t>
      </w:r>
      <w:bookmarkStart w:id="1" w:name="_GoBack"/>
      <w:bookmarkEnd w:id="1"/>
      <w:r w:rsidRPr="009B0FC0">
        <w:t xml:space="preserve"> River. The proposed program will satisfy the need for skilled services in the Ocean County area given its unusually high rate of Medicare hospital utilization and projected population growth. </w:t>
      </w:r>
    </w:p>
    <w:p w:rsidR="0016568D" w:rsidRPr="009B0FC0" w:rsidRDefault="0016568D" w:rsidP="0016568D">
      <w:pPr>
        <w:pStyle w:val="NoSpacing"/>
        <w:jc w:val="both"/>
      </w:pPr>
    </w:p>
    <w:p w:rsidR="003E3CC7" w:rsidRPr="009B0FC0" w:rsidRDefault="003E3CC7" w:rsidP="003E3CC7">
      <w:pPr>
        <w:pStyle w:val="NoSpacing"/>
        <w:jc w:val="both"/>
      </w:pPr>
      <w:r w:rsidRPr="009B0FC0">
        <w:t xml:space="preserve">The proposed skilled nursing program at Toms River is intended to only provide the short term skilled services needed by persons being discharged from the hospital. The proposed program will have no impact on the occupancy rates of homes providing long-term custodial care. </w:t>
      </w:r>
    </w:p>
    <w:p w:rsidR="007474F5" w:rsidRDefault="007474F5" w:rsidP="0016568D">
      <w:pPr>
        <w:pStyle w:val="NoSpacing"/>
        <w:rPr>
          <w:szCs w:val="24"/>
        </w:rPr>
      </w:pPr>
    </w:p>
    <w:p w:rsidR="00A53D74" w:rsidRDefault="00A53D74" w:rsidP="00A53D74">
      <w:pPr>
        <w:pStyle w:val="NoSpacing"/>
        <w:rPr>
          <w:noProof/>
        </w:rPr>
      </w:pPr>
      <w:bookmarkStart w:id="2" w:name="_MailAutoSig"/>
    </w:p>
    <w:p w:rsidR="00A53D74" w:rsidRDefault="00A53D74" w:rsidP="00A53D74">
      <w:pPr>
        <w:pStyle w:val="NoSpacing"/>
        <w:rPr>
          <w:noProof/>
        </w:rPr>
      </w:pPr>
      <w:r>
        <w:rPr>
          <w:noProof/>
        </w:rPr>
        <w:t>Les Hendrickson, Ph.D.</w:t>
      </w:r>
    </w:p>
    <w:p w:rsidR="00A53D74" w:rsidRDefault="00A53D74" w:rsidP="00A53D74">
      <w:pPr>
        <w:pStyle w:val="NoSpacing"/>
        <w:rPr>
          <w:noProof/>
        </w:rPr>
      </w:pPr>
      <w:r>
        <w:rPr>
          <w:noProof/>
        </w:rPr>
        <w:t>Hendrickson Development</w:t>
      </w:r>
    </w:p>
    <w:p w:rsidR="00A53D74" w:rsidRDefault="00DF494D" w:rsidP="00A53D74">
      <w:pPr>
        <w:pStyle w:val="NoSpacing"/>
        <w:rPr>
          <w:noProof/>
        </w:rPr>
      </w:pPr>
      <w:hyperlink r:id="rId22" w:tgtFrame="_blank" w:history="1">
        <w:r w:rsidR="00A53D74">
          <w:rPr>
            <w:rStyle w:val="Hyperlink"/>
            <w:noProof/>
            <w:szCs w:val="24"/>
          </w:rPr>
          <w:t>leslie.c.hendrickson@gmail.com</w:t>
        </w:r>
      </w:hyperlink>
    </w:p>
    <w:p w:rsidR="00A53D74" w:rsidRDefault="00DF494D" w:rsidP="00A53D74">
      <w:pPr>
        <w:pStyle w:val="NoSpacing"/>
        <w:rPr>
          <w:noProof/>
        </w:rPr>
      </w:pPr>
      <w:hyperlink r:id="rId23" w:tgtFrame="_blank" w:history="1">
        <w:r w:rsidR="00A53D74">
          <w:rPr>
            <w:rStyle w:val="Hyperlink"/>
            <w:noProof/>
            <w:szCs w:val="24"/>
          </w:rPr>
          <w:t>http://www.hendricksondevelopment.biz</w:t>
        </w:r>
      </w:hyperlink>
    </w:p>
    <w:p w:rsidR="00A53D74" w:rsidRDefault="00DF494D" w:rsidP="00A53D74">
      <w:pPr>
        <w:pStyle w:val="NoSpacing"/>
        <w:rPr>
          <w:noProof/>
        </w:rPr>
      </w:pPr>
      <w:hyperlink r:id="rId24" w:tgtFrame="_blank" w:history="1">
        <w:r w:rsidR="00A53D74">
          <w:rPr>
            <w:rStyle w:val="Hyperlink"/>
            <w:noProof/>
            <w:szCs w:val="24"/>
          </w:rPr>
          <w:t>609-213-0685</w:t>
        </w:r>
      </w:hyperlink>
      <w:r w:rsidR="00A53D74">
        <w:rPr>
          <w:noProof/>
        </w:rPr>
        <w:t xml:space="preserve"> (cell)</w:t>
      </w:r>
    </w:p>
    <w:bookmarkEnd w:id="2"/>
    <w:p w:rsidR="00A53D74" w:rsidRPr="00042A11" w:rsidRDefault="00A53D74" w:rsidP="0016568D">
      <w:pPr>
        <w:pStyle w:val="NoSpacing"/>
        <w:rPr>
          <w:szCs w:val="24"/>
        </w:rPr>
      </w:pPr>
    </w:p>
    <w:sectPr w:rsidR="00A53D74" w:rsidRPr="00042A11" w:rsidSect="009865B7">
      <w:headerReference w:type="default" r:id="rId25"/>
      <w:footerReference w:type="default" r:id="rId26"/>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D" w:rsidRDefault="00DF494D" w:rsidP="009865B7">
      <w:pPr>
        <w:spacing w:after="0" w:line="240" w:lineRule="auto"/>
      </w:pPr>
      <w:r>
        <w:separator/>
      </w:r>
    </w:p>
  </w:endnote>
  <w:endnote w:type="continuationSeparator" w:id="0">
    <w:p w:rsidR="00DF494D" w:rsidRDefault="00DF494D" w:rsidP="0098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57462"/>
      <w:docPartObj>
        <w:docPartGallery w:val="Page Numbers (Bottom of Page)"/>
        <w:docPartUnique/>
      </w:docPartObj>
    </w:sdtPr>
    <w:sdtEndPr>
      <w:rPr>
        <w:noProof/>
      </w:rPr>
    </w:sdtEndPr>
    <w:sdtContent>
      <w:p w:rsidR="003309C9" w:rsidRDefault="003309C9">
        <w:pPr>
          <w:pStyle w:val="Footer"/>
          <w:jc w:val="center"/>
        </w:pPr>
        <w:r>
          <w:fldChar w:fldCharType="begin"/>
        </w:r>
        <w:r>
          <w:instrText xml:space="preserve"> PAGE   \* MERGEFORMAT </w:instrText>
        </w:r>
        <w:r>
          <w:fldChar w:fldCharType="separate"/>
        </w:r>
        <w:r w:rsidR="000E59C4">
          <w:rPr>
            <w:noProof/>
          </w:rPr>
          <w:t>15</w:t>
        </w:r>
        <w:r>
          <w:rPr>
            <w:noProof/>
          </w:rPr>
          <w:fldChar w:fldCharType="end"/>
        </w:r>
      </w:p>
    </w:sdtContent>
  </w:sdt>
  <w:p w:rsidR="003309C9" w:rsidRDefault="0033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D" w:rsidRDefault="00DF494D" w:rsidP="009865B7">
      <w:pPr>
        <w:spacing w:after="0" w:line="240" w:lineRule="auto"/>
      </w:pPr>
      <w:r>
        <w:separator/>
      </w:r>
    </w:p>
  </w:footnote>
  <w:footnote w:type="continuationSeparator" w:id="0">
    <w:p w:rsidR="00DF494D" w:rsidRDefault="00DF494D" w:rsidP="009865B7">
      <w:pPr>
        <w:spacing w:after="0" w:line="240" w:lineRule="auto"/>
      </w:pPr>
      <w:r>
        <w:continuationSeparator/>
      </w:r>
    </w:p>
  </w:footnote>
  <w:footnote w:id="1">
    <w:p w:rsidR="003309C9" w:rsidRDefault="003309C9">
      <w:pPr>
        <w:pStyle w:val="FootnoteText"/>
      </w:pPr>
      <w:r>
        <w:rPr>
          <w:rStyle w:val="FootnoteReference"/>
        </w:rPr>
        <w:footnoteRef/>
      </w:r>
      <w:r>
        <w:t xml:space="preserve"> See Genworth cost of care by state </w:t>
      </w:r>
      <w:hyperlink r:id="rId1" w:history="1">
        <w:r w:rsidRPr="00FE3C23">
          <w:rPr>
            <w:rStyle w:val="Hyperlink"/>
          </w:rPr>
          <w:t>https://www.genworth.com/corporate/about-genworth/industry-expertise/cost-of-care.html</w:t>
        </w:r>
      </w:hyperlink>
    </w:p>
    <w:p w:rsidR="003309C9" w:rsidRDefault="003309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C9" w:rsidRDefault="003309C9">
    <w:pPr>
      <w:pStyle w:val="Header"/>
    </w:pPr>
    <w:r>
      <w:rPr>
        <w:noProof/>
      </w:rPr>
      <mc:AlternateContent>
        <mc:Choice Requires="wps">
          <w:drawing>
            <wp:anchor distT="0" distB="0" distL="114300" distR="114300" simplePos="0" relativeHeight="251659264" behindDoc="0" locked="0" layoutInCell="1" allowOverlap="1" wp14:anchorId="28C67904" wp14:editId="611D5CD4">
              <wp:simplePos x="0" y="0"/>
              <wp:positionH relativeFrom="column">
                <wp:posOffset>4181475</wp:posOffset>
              </wp:positionH>
              <wp:positionV relativeFrom="paragraph">
                <wp:posOffset>-123825</wp:posOffset>
              </wp:positionV>
              <wp:extent cx="2021205" cy="866775"/>
              <wp:effectExtent l="0" t="0" r="381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9C9" w:rsidRPr="009865B7" w:rsidRDefault="003309C9" w:rsidP="0048158F">
                          <w:pPr>
                            <w:jc w:val="center"/>
                            <w:rPr>
                              <w:szCs w:val="24"/>
                            </w:rPr>
                          </w:pPr>
                          <w:r w:rsidRPr="009865B7">
                            <w:rPr>
                              <w:szCs w:val="24"/>
                            </w:rPr>
                            <w:t xml:space="preserve">Toms River, NJ                          </w:t>
                          </w:r>
                          <w:r>
                            <w:rPr>
                              <w:szCs w:val="24"/>
                            </w:rPr>
                            <w:t>October</w:t>
                          </w:r>
                          <w:r w:rsidRPr="009865B7">
                            <w:rPr>
                              <w:szCs w:val="24"/>
                            </w:rPr>
                            <w:t xml:space="preserve"> 2014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25pt;margin-top:-9.75pt;width:159.15pt;height:6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OIgQIAAA8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" stroked="f">
              <v:textbox>
                <w:txbxContent>
                  <w:p w:rsidR="00B245E1" w:rsidRPr="009865B7" w:rsidRDefault="00B245E1" w:rsidP="0048158F">
                    <w:pPr>
                      <w:jc w:val="center"/>
                      <w:rPr>
                        <w:szCs w:val="24"/>
                      </w:rPr>
                    </w:pPr>
                    <w:r w:rsidRPr="009865B7">
                      <w:rPr>
                        <w:szCs w:val="24"/>
                      </w:rPr>
                      <w:t xml:space="preserve">Toms River, NJ                          </w:t>
                    </w:r>
                    <w:r>
                      <w:rPr>
                        <w:szCs w:val="24"/>
                      </w:rPr>
                      <w:t>October</w:t>
                    </w:r>
                    <w:r w:rsidRPr="009865B7">
                      <w:rPr>
                        <w:szCs w:val="24"/>
                      </w:rPr>
                      <w:t xml:space="preserve"> 2014</w:t>
                    </w:r>
                  </w:p>
                </w:txbxContent>
              </v:textbox>
            </v:shape>
          </w:pict>
        </mc:Fallback>
      </mc:AlternateContent>
    </w:r>
    <w:r>
      <w:rPr>
        <w:noProof/>
      </w:rPr>
      <w:drawing>
        <wp:inline distT="0" distB="0" distL="0" distR="0" wp14:anchorId="3E7F0AB5" wp14:editId="2ACA857E">
          <wp:extent cx="2885440" cy="607060"/>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607060"/>
                  </a:xfrm>
                  <a:prstGeom prst="rect">
                    <a:avLst/>
                  </a:prstGeom>
                  <a:noFill/>
                  <a:ln>
                    <a:noFill/>
                  </a:ln>
                </pic:spPr>
              </pic:pic>
            </a:graphicData>
          </a:graphic>
        </wp:inline>
      </w:drawing>
    </w:r>
  </w:p>
  <w:p w:rsidR="003309C9" w:rsidRDefault="0033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FD6"/>
    <w:multiLevelType w:val="hybridMultilevel"/>
    <w:tmpl w:val="B15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B7"/>
    <w:rsid w:val="00042A11"/>
    <w:rsid w:val="00042FF0"/>
    <w:rsid w:val="000460DF"/>
    <w:rsid w:val="000A13D1"/>
    <w:rsid w:val="000B2EA6"/>
    <w:rsid w:val="000B69EA"/>
    <w:rsid w:val="000C6D0A"/>
    <w:rsid w:val="000E0A61"/>
    <w:rsid w:val="000E2930"/>
    <w:rsid w:val="000E59C4"/>
    <w:rsid w:val="000F01CD"/>
    <w:rsid w:val="001126B7"/>
    <w:rsid w:val="00113602"/>
    <w:rsid w:val="00123BE7"/>
    <w:rsid w:val="001355F4"/>
    <w:rsid w:val="00141497"/>
    <w:rsid w:val="0016568D"/>
    <w:rsid w:val="001A3A82"/>
    <w:rsid w:val="001C2B71"/>
    <w:rsid w:val="001C69FA"/>
    <w:rsid w:val="001F496A"/>
    <w:rsid w:val="00206A0C"/>
    <w:rsid w:val="00222692"/>
    <w:rsid w:val="0026480F"/>
    <w:rsid w:val="002942C3"/>
    <w:rsid w:val="002C368A"/>
    <w:rsid w:val="002D2A92"/>
    <w:rsid w:val="002F0A8F"/>
    <w:rsid w:val="003124DA"/>
    <w:rsid w:val="003136B8"/>
    <w:rsid w:val="003309C9"/>
    <w:rsid w:val="003912B7"/>
    <w:rsid w:val="003E3CC7"/>
    <w:rsid w:val="00404823"/>
    <w:rsid w:val="00424848"/>
    <w:rsid w:val="00442B24"/>
    <w:rsid w:val="00450B60"/>
    <w:rsid w:val="00462368"/>
    <w:rsid w:val="0048158F"/>
    <w:rsid w:val="004B5CDE"/>
    <w:rsid w:val="004D1AD3"/>
    <w:rsid w:val="004E345F"/>
    <w:rsid w:val="0050033A"/>
    <w:rsid w:val="005139CE"/>
    <w:rsid w:val="00533776"/>
    <w:rsid w:val="00537CCC"/>
    <w:rsid w:val="005438E0"/>
    <w:rsid w:val="00546DF9"/>
    <w:rsid w:val="005571A2"/>
    <w:rsid w:val="00583314"/>
    <w:rsid w:val="00590CF5"/>
    <w:rsid w:val="005B6449"/>
    <w:rsid w:val="005C0FAF"/>
    <w:rsid w:val="005D0AB9"/>
    <w:rsid w:val="005F3132"/>
    <w:rsid w:val="00616F59"/>
    <w:rsid w:val="00634ADA"/>
    <w:rsid w:val="00682147"/>
    <w:rsid w:val="006A4BE0"/>
    <w:rsid w:val="006B2A5A"/>
    <w:rsid w:val="006C2CA9"/>
    <w:rsid w:val="006D015A"/>
    <w:rsid w:val="006D7058"/>
    <w:rsid w:val="006E0DBE"/>
    <w:rsid w:val="0070243B"/>
    <w:rsid w:val="007474F5"/>
    <w:rsid w:val="0075398B"/>
    <w:rsid w:val="007541E4"/>
    <w:rsid w:val="007563F7"/>
    <w:rsid w:val="007700EC"/>
    <w:rsid w:val="007D71AD"/>
    <w:rsid w:val="007E00D3"/>
    <w:rsid w:val="007F6707"/>
    <w:rsid w:val="00807643"/>
    <w:rsid w:val="0082366F"/>
    <w:rsid w:val="008511DF"/>
    <w:rsid w:val="00863B51"/>
    <w:rsid w:val="00866D92"/>
    <w:rsid w:val="00880506"/>
    <w:rsid w:val="008A2627"/>
    <w:rsid w:val="008A6941"/>
    <w:rsid w:val="00926A47"/>
    <w:rsid w:val="00957754"/>
    <w:rsid w:val="00961BF6"/>
    <w:rsid w:val="0096657B"/>
    <w:rsid w:val="00967B33"/>
    <w:rsid w:val="009711A9"/>
    <w:rsid w:val="009744E5"/>
    <w:rsid w:val="009865B7"/>
    <w:rsid w:val="009A0ACC"/>
    <w:rsid w:val="009B0FC0"/>
    <w:rsid w:val="009B67F8"/>
    <w:rsid w:val="009C660F"/>
    <w:rsid w:val="009E1AC3"/>
    <w:rsid w:val="009E224C"/>
    <w:rsid w:val="009E4479"/>
    <w:rsid w:val="009F0E49"/>
    <w:rsid w:val="00A0584D"/>
    <w:rsid w:val="00A06AE8"/>
    <w:rsid w:val="00A1768B"/>
    <w:rsid w:val="00A257D9"/>
    <w:rsid w:val="00A36D82"/>
    <w:rsid w:val="00A46E0F"/>
    <w:rsid w:val="00A52D23"/>
    <w:rsid w:val="00A53D74"/>
    <w:rsid w:val="00A57DC4"/>
    <w:rsid w:val="00AD43A8"/>
    <w:rsid w:val="00B20CE0"/>
    <w:rsid w:val="00B245E1"/>
    <w:rsid w:val="00B36B1E"/>
    <w:rsid w:val="00B82164"/>
    <w:rsid w:val="00B871F3"/>
    <w:rsid w:val="00B9734B"/>
    <w:rsid w:val="00BA576B"/>
    <w:rsid w:val="00BC0318"/>
    <w:rsid w:val="00BC2EA5"/>
    <w:rsid w:val="00C420A0"/>
    <w:rsid w:val="00C50DC4"/>
    <w:rsid w:val="00C6662E"/>
    <w:rsid w:val="00C67097"/>
    <w:rsid w:val="00C67B55"/>
    <w:rsid w:val="00C9175D"/>
    <w:rsid w:val="00CB239D"/>
    <w:rsid w:val="00CE1F2B"/>
    <w:rsid w:val="00CF325C"/>
    <w:rsid w:val="00D1751B"/>
    <w:rsid w:val="00D307A3"/>
    <w:rsid w:val="00D32E41"/>
    <w:rsid w:val="00D37062"/>
    <w:rsid w:val="00D508E0"/>
    <w:rsid w:val="00D62C8B"/>
    <w:rsid w:val="00D64125"/>
    <w:rsid w:val="00D8394F"/>
    <w:rsid w:val="00D8683C"/>
    <w:rsid w:val="00D90A5E"/>
    <w:rsid w:val="00D970AB"/>
    <w:rsid w:val="00DE50FF"/>
    <w:rsid w:val="00DF494D"/>
    <w:rsid w:val="00DF7974"/>
    <w:rsid w:val="00E54F18"/>
    <w:rsid w:val="00E57FB0"/>
    <w:rsid w:val="00E822B9"/>
    <w:rsid w:val="00EB04DD"/>
    <w:rsid w:val="00EE46C4"/>
    <w:rsid w:val="00F00AF5"/>
    <w:rsid w:val="00F11B8C"/>
    <w:rsid w:val="00F13D0C"/>
    <w:rsid w:val="00F412EC"/>
    <w:rsid w:val="00F60FAE"/>
    <w:rsid w:val="00F9424D"/>
    <w:rsid w:val="00FD659A"/>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0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6B7"/>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7563F7"/>
    <w:rPr>
      <w:color w:val="0000FF" w:themeColor="hyperlink"/>
      <w:u w:val="single"/>
    </w:rPr>
  </w:style>
  <w:style w:type="paragraph" w:styleId="BalloonText">
    <w:name w:val="Balloon Text"/>
    <w:basedOn w:val="Normal"/>
    <w:link w:val="BalloonTextChar"/>
    <w:uiPriority w:val="99"/>
    <w:semiHidden/>
    <w:unhideWhenUsed/>
    <w:rsid w:val="009C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0F"/>
    <w:rPr>
      <w:rFonts w:ascii="Tahoma" w:hAnsi="Tahoma" w:cs="Tahoma"/>
      <w:sz w:val="16"/>
      <w:szCs w:val="16"/>
    </w:rPr>
  </w:style>
  <w:style w:type="character" w:styleId="Emphasis">
    <w:name w:val="Emphasis"/>
    <w:basedOn w:val="DefaultParagraphFont"/>
    <w:uiPriority w:val="20"/>
    <w:qFormat/>
    <w:rsid w:val="009711A9"/>
    <w:rPr>
      <w:b/>
      <w:bCs/>
      <w:i w:val="0"/>
      <w:iCs w:val="0"/>
    </w:rPr>
  </w:style>
  <w:style w:type="paragraph" w:styleId="Header">
    <w:name w:val="header"/>
    <w:basedOn w:val="Normal"/>
    <w:link w:val="HeaderChar"/>
    <w:uiPriority w:val="99"/>
    <w:unhideWhenUsed/>
    <w:rsid w:val="0098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B7"/>
    <w:rPr>
      <w:rFonts w:ascii="Times New Roman" w:hAnsi="Times New Roman" w:cs="Times New Roman"/>
      <w:sz w:val="24"/>
    </w:rPr>
  </w:style>
  <w:style w:type="paragraph" w:styleId="Footer">
    <w:name w:val="footer"/>
    <w:basedOn w:val="Normal"/>
    <w:link w:val="FooterChar"/>
    <w:uiPriority w:val="99"/>
    <w:unhideWhenUsed/>
    <w:rsid w:val="0098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B7"/>
    <w:rPr>
      <w:rFonts w:ascii="Times New Roman" w:hAnsi="Times New Roman" w:cs="Times New Roman"/>
      <w:sz w:val="24"/>
    </w:rPr>
  </w:style>
  <w:style w:type="paragraph" w:styleId="ListParagraph">
    <w:name w:val="List Paragraph"/>
    <w:basedOn w:val="Normal"/>
    <w:uiPriority w:val="34"/>
    <w:qFormat/>
    <w:rsid w:val="009B0FC0"/>
    <w:pPr>
      <w:ind w:left="720"/>
      <w:contextualSpacing/>
    </w:pPr>
  </w:style>
  <w:style w:type="character" w:styleId="CommentReference">
    <w:name w:val="annotation reference"/>
    <w:basedOn w:val="DefaultParagraphFont"/>
    <w:uiPriority w:val="99"/>
    <w:semiHidden/>
    <w:unhideWhenUsed/>
    <w:rsid w:val="000E0A61"/>
    <w:rPr>
      <w:sz w:val="16"/>
      <w:szCs w:val="16"/>
    </w:rPr>
  </w:style>
  <w:style w:type="paragraph" w:styleId="CommentText">
    <w:name w:val="annotation text"/>
    <w:basedOn w:val="Normal"/>
    <w:link w:val="CommentTextChar"/>
    <w:uiPriority w:val="99"/>
    <w:semiHidden/>
    <w:unhideWhenUsed/>
    <w:rsid w:val="000E0A61"/>
    <w:pPr>
      <w:spacing w:line="240" w:lineRule="auto"/>
    </w:pPr>
    <w:rPr>
      <w:sz w:val="20"/>
      <w:szCs w:val="20"/>
    </w:rPr>
  </w:style>
  <w:style w:type="character" w:customStyle="1" w:styleId="CommentTextChar">
    <w:name w:val="Comment Text Char"/>
    <w:basedOn w:val="DefaultParagraphFont"/>
    <w:link w:val="CommentText"/>
    <w:uiPriority w:val="99"/>
    <w:semiHidden/>
    <w:rsid w:val="000E0A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A61"/>
    <w:rPr>
      <w:b/>
      <w:bCs/>
    </w:rPr>
  </w:style>
  <w:style w:type="character" w:customStyle="1" w:styleId="CommentSubjectChar">
    <w:name w:val="Comment Subject Char"/>
    <w:basedOn w:val="CommentTextChar"/>
    <w:link w:val="CommentSubject"/>
    <w:uiPriority w:val="99"/>
    <w:semiHidden/>
    <w:rsid w:val="000E0A6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E0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B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E0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0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6B7"/>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7563F7"/>
    <w:rPr>
      <w:color w:val="0000FF" w:themeColor="hyperlink"/>
      <w:u w:val="single"/>
    </w:rPr>
  </w:style>
  <w:style w:type="paragraph" w:styleId="BalloonText">
    <w:name w:val="Balloon Text"/>
    <w:basedOn w:val="Normal"/>
    <w:link w:val="BalloonTextChar"/>
    <w:uiPriority w:val="99"/>
    <w:semiHidden/>
    <w:unhideWhenUsed/>
    <w:rsid w:val="009C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0F"/>
    <w:rPr>
      <w:rFonts w:ascii="Tahoma" w:hAnsi="Tahoma" w:cs="Tahoma"/>
      <w:sz w:val="16"/>
      <w:szCs w:val="16"/>
    </w:rPr>
  </w:style>
  <w:style w:type="character" w:styleId="Emphasis">
    <w:name w:val="Emphasis"/>
    <w:basedOn w:val="DefaultParagraphFont"/>
    <w:uiPriority w:val="20"/>
    <w:qFormat/>
    <w:rsid w:val="009711A9"/>
    <w:rPr>
      <w:b/>
      <w:bCs/>
      <w:i w:val="0"/>
      <w:iCs w:val="0"/>
    </w:rPr>
  </w:style>
  <w:style w:type="paragraph" w:styleId="Header">
    <w:name w:val="header"/>
    <w:basedOn w:val="Normal"/>
    <w:link w:val="HeaderChar"/>
    <w:uiPriority w:val="99"/>
    <w:unhideWhenUsed/>
    <w:rsid w:val="0098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B7"/>
    <w:rPr>
      <w:rFonts w:ascii="Times New Roman" w:hAnsi="Times New Roman" w:cs="Times New Roman"/>
      <w:sz w:val="24"/>
    </w:rPr>
  </w:style>
  <w:style w:type="paragraph" w:styleId="Footer">
    <w:name w:val="footer"/>
    <w:basedOn w:val="Normal"/>
    <w:link w:val="FooterChar"/>
    <w:uiPriority w:val="99"/>
    <w:unhideWhenUsed/>
    <w:rsid w:val="0098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B7"/>
    <w:rPr>
      <w:rFonts w:ascii="Times New Roman" w:hAnsi="Times New Roman" w:cs="Times New Roman"/>
      <w:sz w:val="24"/>
    </w:rPr>
  </w:style>
  <w:style w:type="paragraph" w:styleId="ListParagraph">
    <w:name w:val="List Paragraph"/>
    <w:basedOn w:val="Normal"/>
    <w:uiPriority w:val="34"/>
    <w:qFormat/>
    <w:rsid w:val="009B0FC0"/>
    <w:pPr>
      <w:ind w:left="720"/>
      <w:contextualSpacing/>
    </w:pPr>
  </w:style>
  <w:style w:type="character" w:styleId="CommentReference">
    <w:name w:val="annotation reference"/>
    <w:basedOn w:val="DefaultParagraphFont"/>
    <w:uiPriority w:val="99"/>
    <w:semiHidden/>
    <w:unhideWhenUsed/>
    <w:rsid w:val="000E0A61"/>
    <w:rPr>
      <w:sz w:val="16"/>
      <w:szCs w:val="16"/>
    </w:rPr>
  </w:style>
  <w:style w:type="paragraph" w:styleId="CommentText">
    <w:name w:val="annotation text"/>
    <w:basedOn w:val="Normal"/>
    <w:link w:val="CommentTextChar"/>
    <w:uiPriority w:val="99"/>
    <w:semiHidden/>
    <w:unhideWhenUsed/>
    <w:rsid w:val="000E0A61"/>
    <w:pPr>
      <w:spacing w:line="240" w:lineRule="auto"/>
    </w:pPr>
    <w:rPr>
      <w:sz w:val="20"/>
      <w:szCs w:val="20"/>
    </w:rPr>
  </w:style>
  <w:style w:type="character" w:customStyle="1" w:styleId="CommentTextChar">
    <w:name w:val="Comment Text Char"/>
    <w:basedOn w:val="DefaultParagraphFont"/>
    <w:link w:val="CommentText"/>
    <w:uiPriority w:val="99"/>
    <w:semiHidden/>
    <w:rsid w:val="000E0A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A61"/>
    <w:rPr>
      <w:b/>
      <w:bCs/>
    </w:rPr>
  </w:style>
  <w:style w:type="character" w:customStyle="1" w:styleId="CommentSubjectChar">
    <w:name w:val="Comment Subject Char"/>
    <w:basedOn w:val="CommentTextChar"/>
    <w:link w:val="CommentSubject"/>
    <w:uiPriority w:val="99"/>
    <w:semiHidden/>
    <w:rsid w:val="000E0A6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E0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B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E0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964">
      <w:bodyDiv w:val="1"/>
      <w:marLeft w:val="0"/>
      <w:marRight w:val="0"/>
      <w:marTop w:val="0"/>
      <w:marBottom w:val="0"/>
      <w:divBdr>
        <w:top w:val="none" w:sz="0" w:space="0" w:color="auto"/>
        <w:left w:val="none" w:sz="0" w:space="0" w:color="auto"/>
        <w:bottom w:val="none" w:sz="0" w:space="0" w:color="auto"/>
        <w:right w:val="none" w:sz="0" w:space="0" w:color="auto"/>
      </w:divBdr>
    </w:div>
    <w:div w:id="297415824">
      <w:bodyDiv w:val="1"/>
      <w:marLeft w:val="0"/>
      <w:marRight w:val="0"/>
      <w:marTop w:val="0"/>
      <w:marBottom w:val="0"/>
      <w:divBdr>
        <w:top w:val="none" w:sz="0" w:space="0" w:color="auto"/>
        <w:left w:val="none" w:sz="0" w:space="0" w:color="auto"/>
        <w:bottom w:val="none" w:sz="0" w:space="0" w:color="auto"/>
        <w:right w:val="none" w:sz="0" w:space="0" w:color="auto"/>
      </w:divBdr>
    </w:div>
    <w:div w:id="327751144">
      <w:bodyDiv w:val="1"/>
      <w:marLeft w:val="0"/>
      <w:marRight w:val="0"/>
      <w:marTop w:val="0"/>
      <w:marBottom w:val="0"/>
      <w:divBdr>
        <w:top w:val="none" w:sz="0" w:space="0" w:color="auto"/>
        <w:left w:val="none" w:sz="0" w:space="0" w:color="auto"/>
        <w:bottom w:val="none" w:sz="0" w:space="0" w:color="auto"/>
        <w:right w:val="none" w:sz="0" w:space="0" w:color="auto"/>
      </w:divBdr>
    </w:div>
    <w:div w:id="338973348">
      <w:bodyDiv w:val="1"/>
      <w:marLeft w:val="0"/>
      <w:marRight w:val="0"/>
      <w:marTop w:val="0"/>
      <w:marBottom w:val="0"/>
      <w:divBdr>
        <w:top w:val="none" w:sz="0" w:space="0" w:color="auto"/>
        <w:left w:val="none" w:sz="0" w:space="0" w:color="auto"/>
        <w:bottom w:val="none" w:sz="0" w:space="0" w:color="auto"/>
        <w:right w:val="none" w:sz="0" w:space="0" w:color="auto"/>
      </w:divBdr>
    </w:div>
    <w:div w:id="379864619">
      <w:bodyDiv w:val="1"/>
      <w:marLeft w:val="0"/>
      <w:marRight w:val="0"/>
      <w:marTop w:val="0"/>
      <w:marBottom w:val="0"/>
      <w:divBdr>
        <w:top w:val="none" w:sz="0" w:space="0" w:color="auto"/>
        <w:left w:val="none" w:sz="0" w:space="0" w:color="auto"/>
        <w:bottom w:val="none" w:sz="0" w:space="0" w:color="auto"/>
        <w:right w:val="none" w:sz="0" w:space="0" w:color="auto"/>
      </w:divBdr>
    </w:div>
    <w:div w:id="456141455">
      <w:bodyDiv w:val="1"/>
      <w:marLeft w:val="0"/>
      <w:marRight w:val="0"/>
      <w:marTop w:val="0"/>
      <w:marBottom w:val="0"/>
      <w:divBdr>
        <w:top w:val="none" w:sz="0" w:space="0" w:color="auto"/>
        <w:left w:val="none" w:sz="0" w:space="0" w:color="auto"/>
        <w:bottom w:val="none" w:sz="0" w:space="0" w:color="auto"/>
        <w:right w:val="none" w:sz="0" w:space="0" w:color="auto"/>
      </w:divBdr>
    </w:div>
    <w:div w:id="493763645">
      <w:bodyDiv w:val="1"/>
      <w:marLeft w:val="0"/>
      <w:marRight w:val="0"/>
      <w:marTop w:val="0"/>
      <w:marBottom w:val="0"/>
      <w:divBdr>
        <w:top w:val="none" w:sz="0" w:space="0" w:color="auto"/>
        <w:left w:val="none" w:sz="0" w:space="0" w:color="auto"/>
        <w:bottom w:val="none" w:sz="0" w:space="0" w:color="auto"/>
        <w:right w:val="none" w:sz="0" w:space="0" w:color="auto"/>
      </w:divBdr>
    </w:div>
    <w:div w:id="528417047">
      <w:bodyDiv w:val="1"/>
      <w:marLeft w:val="0"/>
      <w:marRight w:val="0"/>
      <w:marTop w:val="0"/>
      <w:marBottom w:val="0"/>
      <w:divBdr>
        <w:top w:val="none" w:sz="0" w:space="0" w:color="auto"/>
        <w:left w:val="none" w:sz="0" w:space="0" w:color="auto"/>
        <w:bottom w:val="none" w:sz="0" w:space="0" w:color="auto"/>
        <w:right w:val="none" w:sz="0" w:space="0" w:color="auto"/>
      </w:divBdr>
    </w:div>
    <w:div w:id="532772367">
      <w:bodyDiv w:val="1"/>
      <w:marLeft w:val="0"/>
      <w:marRight w:val="0"/>
      <w:marTop w:val="0"/>
      <w:marBottom w:val="0"/>
      <w:divBdr>
        <w:top w:val="none" w:sz="0" w:space="0" w:color="auto"/>
        <w:left w:val="none" w:sz="0" w:space="0" w:color="auto"/>
        <w:bottom w:val="none" w:sz="0" w:space="0" w:color="auto"/>
        <w:right w:val="none" w:sz="0" w:space="0" w:color="auto"/>
      </w:divBdr>
    </w:div>
    <w:div w:id="569534898">
      <w:bodyDiv w:val="1"/>
      <w:marLeft w:val="0"/>
      <w:marRight w:val="0"/>
      <w:marTop w:val="0"/>
      <w:marBottom w:val="0"/>
      <w:divBdr>
        <w:top w:val="none" w:sz="0" w:space="0" w:color="auto"/>
        <w:left w:val="none" w:sz="0" w:space="0" w:color="auto"/>
        <w:bottom w:val="none" w:sz="0" w:space="0" w:color="auto"/>
        <w:right w:val="none" w:sz="0" w:space="0" w:color="auto"/>
      </w:divBdr>
    </w:div>
    <w:div w:id="630405359">
      <w:bodyDiv w:val="1"/>
      <w:marLeft w:val="0"/>
      <w:marRight w:val="0"/>
      <w:marTop w:val="0"/>
      <w:marBottom w:val="0"/>
      <w:divBdr>
        <w:top w:val="none" w:sz="0" w:space="0" w:color="auto"/>
        <w:left w:val="none" w:sz="0" w:space="0" w:color="auto"/>
        <w:bottom w:val="none" w:sz="0" w:space="0" w:color="auto"/>
        <w:right w:val="none" w:sz="0" w:space="0" w:color="auto"/>
      </w:divBdr>
    </w:div>
    <w:div w:id="669063952">
      <w:bodyDiv w:val="1"/>
      <w:marLeft w:val="0"/>
      <w:marRight w:val="0"/>
      <w:marTop w:val="0"/>
      <w:marBottom w:val="0"/>
      <w:divBdr>
        <w:top w:val="none" w:sz="0" w:space="0" w:color="auto"/>
        <w:left w:val="none" w:sz="0" w:space="0" w:color="auto"/>
        <w:bottom w:val="none" w:sz="0" w:space="0" w:color="auto"/>
        <w:right w:val="none" w:sz="0" w:space="0" w:color="auto"/>
      </w:divBdr>
    </w:div>
    <w:div w:id="761342844">
      <w:bodyDiv w:val="1"/>
      <w:marLeft w:val="0"/>
      <w:marRight w:val="0"/>
      <w:marTop w:val="0"/>
      <w:marBottom w:val="0"/>
      <w:divBdr>
        <w:top w:val="none" w:sz="0" w:space="0" w:color="auto"/>
        <w:left w:val="none" w:sz="0" w:space="0" w:color="auto"/>
        <w:bottom w:val="none" w:sz="0" w:space="0" w:color="auto"/>
        <w:right w:val="none" w:sz="0" w:space="0" w:color="auto"/>
      </w:divBdr>
    </w:div>
    <w:div w:id="815535578">
      <w:bodyDiv w:val="1"/>
      <w:marLeft w:val="0"/>
      <w:marRight w:val="0"/>
      <w:marTop w:val="0"/>
      <w:marBottom w:val="0"/>
      <w:divBdr>
        <w:top w:val="none" w:sz="0" w:space="0" w:color="auto"/>
        <w:left w:val="none" w:sz="0" w:space="0" w:color="auto"/>
        <w:bottom w:val="none" w:sz="0" w:space="0" w:color="auto"/>
        <w:right w:val="none" w:sz="0" w:space="0" w:color="auto"/>
      </w:divBdr>
    </w:div>
    <w:div w:id="815801210">
      <w:bodyDiv w:val="1"/>
      <w:marLeft w:val="0"/>
      <w:marRight w:val="0"/>
      <w:marTop w:val="0"/>
      <w:marBottom w:val="0"/>
      <w:divBdr>
        <w:top w:val="none" w:sz="0" w:space="0" w:color="auto"/>
        <w:left w:val="none" w:sz="0" w:space="0" w:color="auto"/>
        <w:bottom w:val="none" w:sz="0" w:space="0" w:color="auto"/>
        <w:right w:val="none" w:sz="0" w:space="0" w:color="auto"/>
      </w:divBdr>
    </w:div>
    <w:div w:id="933854281">
      <w:bodyDiv w:val="1"/>
      <w:marLeft w:val="0"/>
      <w:marRight w:val="0"/>
      <w:marTop w:val="0"/>
      <w:marBottom w:val="0"/>
      <w:divBdr>
        <w:top w:val="none" w:sz="0" w:space="0" w:color="auto"/>
        <w:left w:val="none" w:sz="0" w:space="0" w:color="auto"/>
        <w:bottom w:val="none" w:sz="0" w:space="0" w:color="auto"/>
        <w:right w:val="none" w:sz="0" w:space="0" w:color="auto"/>
      </w:divBdr>
    </w:div>
    <w:div w:id="1108086497">
      <w:bodyDiv w:val="1"/>
      <w:marLeft w:val="0"/>
      <w:marRight w:val="0"/>
      <w:marTop w:val="0"/>
      <w:marBottom w:val="0"/>
      <w:divBdr>
        <w:top w:val="none" w:sz="0" w:space="0" w:color="auto"/>
        <w:left w:val="none" w:sz="0" w:space="0" w:color="auto"/>
        <w:bottom w:val="none" w:sz="0" w:space="0" w:color="auto"/>
        <w:right w:val="none" w:sz="0" w:space="0" w:color="auto"/>
      </w:divBdr>
    </w:div>
    <w:div w:id="1138454380">
      <w:bodyDiv w:val="1"/>
      <w:marLeft w:val="0"/>
      <w:marRight w:val="0"/>
      <w:marTop w:val="0"/>
      <w:marBottom w:val="0"/>
      <w:divBdr>
        <w:top w:val="none" w:sz="0" w:space="0" w:color="auto"/>
        <w:left w:val="none" w:sz="0" w:space="0" w:color="auto"/>
        <w:bottom w:val="none" w:sz="0" w:space="0" w:color="auto"/>
        <w:right w:val="none" w:sz="0" w:space="0" w:color="auto"/>
      </w:divBdr>
    </w:div>
    <w:div w:id="1303265293">
      <w:bodyDiv w:val="1"/>
      <w:marLeft w:val="0"/>
      <w:marRight w:val="0"/>
      <w:marTop w:val="0"/>
      <w:marBottom w:val="0"/>
      <w:divBdr>
        <w:top w:val="none" w:sz="0" w:space="0" w:color="auto"/>
        <w:left w:val="none" w:sz="0" w:space="0" w:color="auto"/>
        <w:bottom w:val="none" w:sz="0" w:space="0" w:color="auto"/>
        <w:right w:val="none" w:sz="0" w:space="0" w:color="auto"/>
      </w:divBdr>
    </w:div>
    <w:div w:id="1316449176">
      <w:bodyDiv w:val="1"/>
      <w:marLeft w:val="0"/>
      <w:marRight w:val="0"/>
      <w:marTop w:val="0"/>
      <w:marBottom w:val="0"/>
      <w:divBdr>
        <w:top w:val="none" w:sz="0" w:space="0" w:color="auto"/>
        <w:left w:val="none" w:sz="0" w:space="0" w:color="auto"/>
        <w:bottom w:val="none" w:sz="0" w:space="0" w:color="auto"/>
        <w:right w:val="none" w:sz="0" w:space="0" w:color="auto"/>
      </w:divBdr>
    </w:div>
    <w:div w:id="1329869041">
      <w:bodyDiv w:val="1"/>
      <w:marLeft w:val="0"/>
      <w:marRight w:val="0"/>
      <w:marTop w:val="0"/>
      <w:marBottom w:val="0"/>
      <w:divBdr>
        <w:top w:val="none" w:sz="0" w:space="0" w:color="auto"/>
        <w:left w:val="none" w:sz="0" w:space="0" w:color="auto"/>
        <w:bottom w:val="none" w:sz="0" w:space="0" w:color="auto"/>
        <w:right w:val="none" w:sz="0" w:space="0" w:color="auto"/>
      </w:divBdr>
    </w:div>
    <w:div w:id="1473018850">
      <w:bodyDiv w:val="1"/>
      <w:marLeft w:val="0"/>
      <w:marRight w:val="0"/>
      <w:marTop w:val="0"/>
      <w:marBottom w:val="0"/>
      <w:divBdr>
        <w:top w:val="none" w:sz="0" w:space="0" w:color="auto"/>
        <w:left w:val="none" w:sz="0" w:space="0" w:color="auto"/>
        <w:bottom w:val="none" w:sz="0" w:space="0" w:color="auto"/>
        <w:right w:val="none" w:sz="0" w:space="0" w:color="auto"/>
      </w:divBdr>
    </w:div>
    <w:div w:id="1648437869">
      <w:bodyDiv w:val="1"/>
      <w:marLeft w:val="0"/>
      <w:marRight w:val="0"/>
      <w:marTop w:val="0"/>
      <w:marBottom w:val="0"/>
      <w:divBdr>
        <w:top w:val="none" w:sz="0" w:space="0" w:color="auto"/>
        <w:left w:val="none" w:sz="0" w:space="0" w:color="auto"/>
        <w:bottom w:val="none" w:sz="0" w:space="0" w:color="auto"/>
        <w:right w:val="none" w:sz="0" w:space="0" w:color="auto"/>
      </w:divBdr>
    </w:div>
    <w:div w:id="1670209733">
      <w:bodyDiv w:val="1"/>
      <w:marLeft w:val="0"/>
      <w:marRight w:val="0"/>
      <w:marTop w:val="0"/>
      <w:marBottom w:val="0"/>
      <w:divBdr>
        <w:top w:val="none" w:sz="0" w:space="0" w:color="auto"/>
        <w:left w:val="none" w:sz="0" w:space="0" w:color="auto"/>
        <w:bottom w:val="none" w:sz="0" w:space="0" w:color="auto"/>
        <w:right w:val="none" w:sz="0" w:space="0" w:color="auto"/>
      </w:divBdr>
    </w:div>
    <w:div w:id="1747190415">
      <w:bodyDiv w:val="1"/>
      <w:marLeft w:val="0"/>
      <w:marRight w:val="0"/>
      <w:marTop w:val="0"/>
      <w:marBottom w:val="0"/>
      <w:divBdr>
        <w:top w:val="none" w:sz="0" w:space="0" w:color="auto"/>
        <w:left w:val="none" w:sz="0" w:space="0" w:color="auto"/>
        <w:bottom w:val="none" w:sz="0" w:space="0" w:color="auto"/>
        <w:right w:val="none" w:sz="0" w:space="0" w:color="auto"/>
      </w:divBdr>
    </w:div>
    <w:div w:id="1801728160">
      <w:bodyDiv w:val="1"/>
      <w:marLeft w:val="0"/>
      <w:marRight w:val="0"/>
      <w:marTop w:val="0"/>
      <w:marBottom w:val="0"/>
      <w:divBdr>
        <w:top w:val="none" w:sz="0" w:space="0" w:color="auto"/>
        <w:left w:val="none" w:sz="0" w:space="0" w:color="auto"/>
        <w:bottom w:val="none" w:sz="0" w:space="0" w:color="auto"/>
        <w:right w:val="none" w:sz="0" w:space="0" w:color="auto"/>
      </w:divBdr>
    </w:div>
    <w:div w:id="1804736959">
      <w:bodyDiv w:val="1"/>
      <w:marLeft w:val="0"/>
      <w:marRight w:val="0"/>
      <w:marTop w:val="0"/>
      <w:marBottom w:val="0"/>
      <w:divBdr>
        <w:top w:val="none" w:sz="0" w:space="0" w:color="auto"/>
        <w:left w:val="none" w:sz="0" w:space="0" w:color="auto"/>
        <w:bottom w:val="none" w:sz="0" w:space="0" w:color="auto"/>
        <w:right w:val="none" w:sz="0" w:space="0" w:color="auto"/>
      </w:divBdr>
    </w:div>
    <w:div w:id="2005083447">
      <w:bodyDiv w:val="1"/>
      <w:marLeft w:val="0"/>
      <w:marRight w:val="0"/>
      <w:marTop w:val="0"/>
      <w:marBottom w:val="0"/>
      <w:divBdr>
        <w:top w:val="none" w:sz="0" w:space="0" w:color="auto"/>
        <w:left w:val="none" w:sz="0" w:space="0" w:color="auto"/>
        <w:bottom w:val="none" w:sz="0" w:space="0" w:color="auto"/>
        <w:right w:val="none" w:sz="0" w:space="0" w:color="auto"/>
      </w:divBdr>
    </w:div>
    <w:div w:id="21204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Research-Statistics-Data-and-Systems/Files-for-Order/NonIdentifiableDataFiles/HospitalServiceAreaFile.html" TargetMode="External"/><Relationship Id="rId18" Type="http://schemas.openxmlformats.org/officeDocument/2006/relationships/hyperlink" Target="http://www.ahcancal.org/research_data/oscar_data/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ms.gov/Research-Statistics-Data-and-Systems/Statistics-Trends-and-Reports/MedicareMedicaidStatSupp/2013.html" TargetMode="External"/><Relationship Id="rId7" Type="http://schemas.openxmlformats.org/officeDocument/2006/relationships/footnotes" Target="footnotes.xml"/><Relationship Id="rId12" Type="http://schemas.openxmlformats.org/officeDocument/2006/relationships/hyperlink" Target="http://lwd.dol.state.nj.us/labor/lpa/dmograph/lfproj/lfproj_index.html"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ahcancal.org/research_data/oscar_data/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tel:609-213-0685" TargetMode="External"/><Relationship Id="rId5" Type="http://schemas.openxmlformats.org/officeDocument/2006/relationships/settings" Target="settings.xml"/><Relationship Id="rId15" Type="http://schemas.openxmlformats.org/officeDocument/2006/relationships/hyperlink" Target="http://www.cms.gov/Research-Statistics-Data-and-Systems/Files-for-Order/NonIdentifiableDataFiles/HospitalServiceAreaFile.html" TargetMode="External"/><Relationship Id="rId23" Type="http://schemas.openxmlformats.org/officeDocument/2006/relationships/hyperlink" Target="http://www.hendricksondevelopment.biz/" TargetMode="External"/><Relationship Id="rId28" Type="http://schemas.openxmlformats.org/officeDocument/2006/relationships/theme" Target="theme/theme1.xml"/><Relationship Id="rId10" Type="http://schemas.openxmlformats.org/officeDocument/2006/relationships/hyperlink" Target="http://lwd.dol.state.nj.us/labor/lpa/dmograph/lfproj/lfproj_index.html"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leslie.c.hendrickson@gmail.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enworth.com/corporate/about-genworth/industry-expertise/cost-of-c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issyleslie\Documents\William%20Burris\Toms%20River\Population%20Growth%20to%20203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issyleslie\Documents\William%20Burris\Toms%20River\OSCAR%20data%20payor%20source%20Total%20Patients,%20Mcare%20%25,%20%20XIX%20%25%20and%20other%20payer%20%25%20shown%20by%20year%2010-1-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issyleslie\Documents\William%20Burris\Toms%20River\OSCAR%20data%20on%20Beds,%20State%20Occupancy,%20and%20Median%20Facility%20Occupancy%20updated%209-19-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issyleslie\Documents\William%20Burris\Toms%20River\OSCAR%20data%20on%20Beds,%20State%20Occupancy,%20and%20Median%20Facility%20Occupancy%20updated%209-19-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lumMod val="75000"/>
                  </a:schemeClr>
                </a:solidFill>
              </a:defRPr>
            </a:pPr>
            <a:r>
              <a:rPr lang="en-US">
                <a:solidFill>
                  <a:schemeClr val="tx2">
                    <a:lumMod val="75000"/>
                  </a:schemeClr>
                </a:solidFill>
              </a:rPr>
              <a:t> Four-County Growth in Number of</a:t>
            </a:r>
          </a:p>
          <a:p>
            <a:pPr>
              <a:defRPr>
                <a:solidFill>
                  <a:schemeClr val="tx2">
                    <a:lumMod val="75000"/>
                  </a:schemeClr>
                </a:solidFill>
              </a:defRPr>
            </a:pPr>
            <a:r>
              <a:rPr lang="en-US">
                <a:solidFill>
                  <a:schemeClr val="tx2">
                    <a:lumMod val="75000"/>
                  </a:schemeClr>
                </a:solidFill>
              </a:rPr>
              <a:t> Persons Aged 65 and Older</a:t>
            </a:r>
          </a:p>
        </c:rich>
      </c:tx>
      <c:overlay val="0"/>
      <c:spPr>
        <a:solidFill>
          <a:schemeClr val="lt1"/>
        </a:solidFill>
        <a:ln w="25400" cap="flat" cmpd="sng" algn="ctr">
          <a:solidFill>
            <a:schemeClr val="tx2">
              <a:lumMod val="75000"/>
            </a:schemeClr>
          </a:solidFill>
          <a:prstDash val="solid"/>
        </a:ln>
        <a:effectLst/>
      </c:spPr>
    </c:title>
    <c:autoTitleDeleted val="0"/>
    <c:plotArea>
      <c:layout>
        <c:manualLayout>
          <c:layoutTarget val="inner"/>
          <c:xMode val="edge"/>
          <c:yMode val="edge"/>
          <c:x val="0.12774931223484706"/>
          <c:y val="0.25531651115842757"/>
          <c:w val="0.54078874972089164"/>
          <c:h val="0.64482635889761564"/>
        </c:manualLayout>
      </c:layout>
      <c:lineChart>
        <c:grouping val="standard"/>
        <c:varyColors val="0"/>
        <c:ser>
          <c:idx val="0"/>
          <c:order val="0"/>
          <c:tx>
            <c:strRef>
              <c:f>Sheet1!$I$49</c:f>
              <c:strCache>
                <c:ptCount val="1"/>
                <c:pt idx="0">
                  <c:v> Number of Persons Aged 65 and Older</c:v>
                </c:pt>
              </c:strCache>
            </c:strRef>
          </c:tx>
          <c:spPr>
            <a:ln>
              <a:solidFill>
                <a:schemeClr val="tx2">
                  <a:lumMod val="75000"/>
                </a:schemeClr>
              </a:solidFill>
            </a:ln>
          </c:spPr>
          <c:marker>
            <c:symbol val="none"/>
          </c:marker>
          <c:cat>
            <c:numRef>
              <c:f>Sheet1!$J$48:$N$48</c:f>
              <c:numCache>
                <c:formatCode>0</c:formatCode>
                <c:ptCount val="5"/>
                <c:pt idx="0">
                  <c:v>2010</c:v>
                </c:pt>
                <c:pt idx="1">
                  <c:v>2015</c:v>
                </c:pt>
                <c:pt idx="2">
                  <c:v>2020</c:v>
                </c:pt>
                <c:pt idx="3">
                  <c:v>2025</c:v>
                </c:pt>
                <c:pt idx="4">
                  <c:v>2030</c:v>
                </c:pt>
              </c:numCache>
            </c:numRef>
          </c:cat>
          <c:val>
            <c:numRef>
              <c:f>Sheet1!$J$49:$N$49</c:f>
              <c:numCache>
                <c:formatCode>#,##0</c:formatCode>
                <c:ptCount val="5"/>
                <c:pt idx="0">
                  <c:v>308887</c:v>
                </c:pt>
                <c:pt idx="1">
                  <c:v>346500</c:v>
                </c:pt>
                <c:pt idx="2">
                  <c:v>388600</c:v>
                </c:pt>
                <c:pt idx="3">
                  <c:v>444800</c:v>
                </c:pt>
                <c:pt idx="4">
                  <c:v>492200</c:v>
                </c:pt>
              </c:numCache>
            </c:numRef>
          </c:val>
          <c:smooth val="0"/>
        </c:ser>
        <c:dLbls>
          <c:showLegendKey val="0"/>
          <c:showVal val="0"/>
          <c:showCatName val="0"/>
          <c:showSerName val="0"/>
          <c:showPercent val="0"/>
          <c:showBubbleSize val="0"/>
        </c:dLbls>
        <c:marker val="1"/>
        <c:smooth val="0"/>
        <c:axId val="142111104"/>
        <c:axId val="142112640"/>
      </c:lineChart>
      <c:catAx>
        <c:axId val="142111104"/>
        <c:scaling>
          <c:orientation val="minMax"/>
        </c:scaling>
        <c:delete val="0"/>
        <c:axPos val="b"/>
        <c:majorGridlines/>
        <c:numFmt formatCode="0" sourceLinked="1"/>
        <c:majorTickMark val="out"/>
        <c:minorTickMark val="none"/>
        <c:tickLblPos val="nextTo"/>
        <c:txPr>
          <a:bodyPr/>
          <a:lstStyle/>
          <a:p>
            <a:pPr>
              <a:defRPr sz="1200" b="1"/>
            </a:pPr>
            <a:endParaRPr lang="en-US"/>
          </a:p>
        </c:txPr>
        <c:crossAx val="142112640"/>
        <c:crosses val="autoZero"/>
        <c:auto val="1"/>
        <c:lblAlgn val="ctr"/>
        <c:lblOffset val="100"/>
        <c:noMultiLvlLbl val="0"/>
      </c:catAx>
      <c:valAx>
        <c:axId val="142112640"/>
        <c:scaling>
          <c:orientation val="minMax"/>
          <c:max val="550000"/>
          <c:min val="275000"/>
        </c:scaling>
        <c:delete val="0"/>
        <c:axPos val="l"/>
        <c:majorGridlines/>
        <c:numFmt formatCode="#,##0" sourceLinked="1"/>
        <c:majorTickMark val="out"/>
        <c:minorTickMark val="none"/>
        <c:tickLblPos val="nextTo"/>
        <c:txPr>
          <a:bodyPr/>
          <a:lstStyle/>
          <a:p>
            <a:pPr>
              <a:defRPr sz="1200" b="1"/>
            </a:pPr>
            <a:endParaRPr lang="en-US"/>
          </a:p>
        </c:txPr>
        <c:crossAx val="14211110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b="0" i="0" u="none" strike="noStrike" baseline="0">
                <a:solidFill>
                  <a:schemeClr val="tx2">
                    <a:lumMod val="75000"/>
                  </a:schemeClr>
                </a:solidFill>
                <a:latin typeface="Calibri"/>
                <a:ea typeface="Calibri"/>
                <a:cs typeface="Calibri"/>
              </a:defRPr>
            </a:pPr>
            <a:r>
              <a:rPr lang="en-US" sz="1800" b="1" i="0" u="none" strike="noStrike" baseline="0">
                <a:solidFill>
                  <a:schemeClr val="tx2">
                    <a:lumMod val="75000"/>
                  </a:schemeClr>
                </a:solidFill>
                <a:latin typeface="Calibri"/>
              </a:rPr>
              <a:t>Percent of Nursing Home Residents That are Paid for by Medicare </a:t>
            </a:r>
          </a:p>
          <a:p>
            <a:pPr>
              <a:defRPr sz="1000" b="0" i="0" u="none" strike="noStrike" baseline="0">
                <a:solidFill>
                  <a:schemeClr val="tx2">
                    <a:lumMod val="75000"/>
                  </a:schemeClr>
                </a:solidFill>
                <a:latin typeface="Calibri"/>
                <a:ea typeface="Calibri"/>
                <a:cs typeface="Calibri"/>
              </a:defRPr>
            </a:pPr>
            <a:r>
              <a:rPr lang="en-US" sz="1800" b="1" i="0" u="none" strike="noStrike" baseline="0">
                <a:solidFill>
                  <a:schemeClr val="tx2">
                    <a:lumMod val="75000"/>
                  </a:schemeClr>
                </a:solidFill>
                <a:latin typeface="Calibri"/>
              </a:rPr>
              <a:t>2001-2014</a:t>
            </a:r>
          </a:p>
          <a:p>
            <a:pPr>
              <a:defRPr sz="1000" b="0" i="0" u="none" strike="noStrike" baseline="0">
                <a:solidFill>
                  <a:schemeClr val="tx2">
                    <a:lumMod val="75000"/>
                  </a:schemeClr>
                </a:solidFill>
                <a:latin typeface="Calibri"/>
                <a:ea typeface="Calibri"/>
                <a:cs typeface="Calibri"/>
              </a:defRPr>
            </a:pPr>
            <a:r>
              <a:rPr lang="en-US" sz="1800" b="1" i="0" u="none" strike="noStrike" baseline="0">
                <a:solidFill>
                  <a:schemeClr val="tx2">
                    <a:lumMod val="75000"/>
                  </a:schemeClr>
                </a:solidFill>
                <a:latin typeface="Calibri"/>
              </a:rPr>
              <a:t> </a:t>
            </a:r>
          </a:p>
        </c:rich>
      </c:tx>
      <c:layout>
        <c:manualLayout>
          <c:xMode val="edge"/>
          <c:yMode val="edge"/>
          <c:x val="0.10895402590805182"/>
          <c:y val="4.3715846994535519E-2"/>
        </c:manualLayout>
      </c:layout>
      <c:overlay val="0"/>
      <c:spPr>
        <a:noFill/>
      </c:spPr>
    </c:title>
    <c:autoTitleDeleted val="0"/>
    <c:view3D>
      <c:rotX val="15"/>
      <c:rotY val="20"/>
      <c:depthPercent val="100"/>
      <c:rAngAx val="1"/>
    </c:view3D>
    <c:floor>
      <c:thickness val="0"/>
    </c:floor>
    <c:sideWall>
      <c:thickness val="0"/>
      <c:spPr>
        <a:solidFill>
          <a:schemeClr val="bg1">
            <a:lumMod val="85000"/>
          </a:schemeClr>
        </a:solidFill>
      </c:spPr>
    </c:sideWall>
    <c:backWall>
      <c:thickness val="0"/>
      <c:spPr>
        <a:solidFill>
          <a:schemeClr val="bg1">
            <a:lumMod val="85000"/>
          </a:schemeClr>
        </a:solidFill>
      </c:spPr>
    </c:backWall>
    <c:plotArea>
      <c:layout/>
      <c:bar3DChart>
        <c:barDir val="col"/>
        <c:grouping val="clustered"/>
        <c:varyColors val="0"/>
        <c:ser>
          <c:idx val="0"/>
          <c:order val="0"/>
          <c:tx>
            <c:strRef>
              <c:f>Summary!$A$232</c:f>
              <c:strCache>
                <c:ptCount val="1"/>
                <c:pt idx="0">
                  <c:v>United States</c:v>
                </c:pt>
              </c:strCache>
            </c:strRef>
          </c:tx>
          <c:invertIfNegative val="0"/>
          <c:cat>
            <c:strRef>
              <c:f>Summary!$B$231:$Z$231</c:f>
              <c:strCache>
                <c:ptCount val="25"/>
                <c:pt idx="0">
                  <c:v>Dec. 2001</c:v>
                </c:pt>
                <c:pt idx="1">
                  <c:v>Dec. 02</c:v>
                </c:pt>
                <c:pt idx="2">
                  <c:v>June 2003</c:v>
                </c:pt>
                <c:pt idx="3">
                  <c:v>Dec. 2003</c:v>
                </c:pt>
                <c:pt idx="4">
                  <c:v>June 2004</c:v>
                </c:pt>
                <c:pt idx="5">
                  <c:v>Dec. 2004</c:v>
                </c:pt>
                <c:pt idx="6">
                  <c:v>June 2005</c:v>
                </c:pt>
                <c:pt idx="7">
                  <c:v>Dec. 2005</c:v>
                </c:pt>
                <c:pt idx="8">
                  <c:v>June 2006</c:v>
                </c:pt>
                <c:pt idx="9">
                  <c:v>Dec. 2006</c:v>
                </c:pt>
                <c:pt idx="10">
                  <c:v>June 2007</c:v>
                </c:pt>
                <c:pt idx="11">
                  <c:v>Dec. 2007</c:v>
                </c:pt>
                <c:pt idx="12">
                  <c:v>June 2008</c:v>
                </c:pt>
                <c:pt idx="13">
                  <c:v>Dec. 2008</c:v>
                </c:pt>
                <c:pt idx="14">
                  <c:v>June 2009</c:v>
                </c:pt>
                <c:pt idx="15">
                  <c:v>Dec. 2009</c:v>
                </c:pt>
                <c:pt idx="16">
                  <c:v>June 2010</c:v>
                </c:pt>
                <c:pt idx="17">
                  <c:v>Dec. 2010</c:v>
                </c:pt>
                <c:pt idx="18">
                  <c:v>June 2011</c:v>
                </c:pt>
                <c:pt idx="19">
                  <c:v>Dec. 2011</c:v>
                </c:pt>
                <c:pt idx="20">
                  <c:v>June 2012</c:v>
                </c:pt>
                <c:pt idx="21">
                  <c:v>Dec. 2012</c:v>
                </c:pt>
                <c:pt idx="22">
                  <c:v>June 2013</c:v>
                </c:pt>
                <c:pt idx="23">
                  <c:v>Dec. 2013</c:v>
                </c:pt>
                <c:pt idx="24">
                  <c:v>June 2014</c:v>
                </c:pt>
              </c:strCache>
            </c:strRef>
          </c:cat>
          <c:val>
            <c:numRef>
              <c:f>Summary!$B$232:$Z$232</c:f>
              <c:numCache>
                <c:formatCode>0.00%</c:formatCode>
                <c:ptCount val="25"/>
                <c:pt idx="0">
                  <c:v>9.5500000000000002E-2</c:v>
                </c:pt>
                <c:pt idx="1">
                  <c:v>0.10461805023595551</c:v>
                </c:pt>
                <c:pt idx="2">
                  <c:v>0.10882725482907218</c:v>
                </c:pt>
                <c:pt idx="3">
                  <c:v>0.1132</c:v>
                </c:pt>
                <c:pt idx="4">
                  <c:v>0.1179</c:v>
                </c:pt>
                <c:pt idx="5">
                  <c:v>0.1212</c:v>
                </c:pt>
                <c:pt idx="6">
                  <c:v>0.12429999999999999</c:v>
                </c:pt>
                <c:pt idx="7">
                  <c:v>0.129</c:v>
                </c:pt>
                <c:pt idx="8">
                  <c:v>0.13189999999999999</c:v>
                </c:pt>
                <c:pt idx="9">
                  <c:v>0.1331</c:v>
                </c:pt>
                <c:pt idx="10">
                  <c:v>0.13600000000000001</c:v>
                </c:pt>
                <c:pt idx="11">
                  <c:v>0.13700000000000001</c:v>
                </c:pt>
                <c:pt idx="12">
                  <c:v>0.13900000000000001</c:v>
                </c:pt>
                <c:pt idx="13">
                  <c:v>0.14000000000000001</c:v>
                </c:pt>
                <c:pt idx="14">
                  <c:v>0.14199999999999999</c:v>
                </c:pt>
                <c:pt idx="15">
                  <c:v>0.14099999999999999</c:v>
                </c:pt>
                <c:pt idx="16">
                  <c:v>0.14199999999999999</c:v>
                </c:pt>
                <c:pt idx="17">
                  <c:v>0.14199999999999999</c:v>
                </c:pt>
                <c:pt idx="18">
                  <c:v>0.14399999999999999</c:v>
                </c:pt>
                <c:pt idx="19">
                  <c:v>0.14399999999999999</c:v>
                </c:pt>
                <c:pt idx="20">
                  <c:v>0.14399999999999999</c:v>
                </c:pt>
                <c:pt idx="21">
                  <c:v>0.14199999999999999</c:v>
                </c:pt>
                <c:pt idx="22">
                  <c:v>0.14399999999999999</c:v>
                </c:pt>
                <c:pt idx="23" formatCode="0.0%">
                  <c:v>0.14399999999999999</c:v>
                </c:pt>
                <c:pt idx="24">
                  <c:v>0.14299999999999999</c:v>
                </c:pt>
              </c:numCache>
            </c:numRef>
          </c:val>
        </c:ser>
        <c:ser>
          <c:idx val="1"/>
          <c:order val="1"/>
          <c:tx>
            <c:strRef>
              <c:f>Summary!$A$233</c:f>
              <c:strCache>
                <c:ptCount val="1"/>
                <c:pt idx="0">
                  <c:v>New Jersey</c:v>
                </c:pt>
              </c:strCache>
            </c:strRef>
          </c:tx>
          <c:invertIfNegative val="0"/>
          <c:cat>
            <c:strRef>
              <c:f>Summary!$B$231:$Z$231</c:f>
              <c:strCache>
                <c:ptCount val="25"/>
                <c:pt idx="0">
                  <c:v>Dec. 2001</c:v>
                </c:pt>
                <c:pt idx="1">
                  <c:v>Dec. 02</c:v>
                </c:pt>
                <c:pt idx="2">
                  <c:v>June 2003</c:v>
                </c:pt>
                <c:pt idx="3">
                  <c:v>Dec. 2003</c:v>
                </c:pt>
                <c:pt idx="4">
                  <c:v>June 2004</c:v>
                </c:pt>
                <c:pt idx="5">
                  <c:v>Dec. 2004</c:v>
                </c:pt>
                <c:pt idx="6">
                  <c:v>June 2005</c:v>
                </c:pt>
                <c:pt idx="7">
                  <c:v>Dec. 2005</c:v>
                </c:pt>
                <c:pt idx="8">
                  <c:v>June 2006</c:v>
                </c:pt>
                <c:pt idx="9">
                  <c:v>Dec. 2006</c:v>
                </c:pt>
                <c:pt idx="10">
                  <c:v>June 2007</c:v>
                </c:pt>
                <c:pt idx="11">
                  <c:v>Dec. 2007</c:v>
                </c:pt>
                <c:pt idx="12">
                  <c:v>June 2008</c:v>
                </c:pt>
                <c:pt idx="13">
                  <c:v>Dec. 2008</c:v>
                </c:pt>
                <c:pt idx="14">
                  <c:v>June 2009</c:v>
                </c:pt>
                <c:pt idx="15">
                  <c:v>Dec. 2009</c:v>
                </c:pt>
                <c:pt idx="16">
                  <c:v>June 2010</c:v>
                </c:pt>
                <c:pt idx="17">
                  <c:v>Dec. 2010</c:v>
                </c:pt>
                <c:pt idx="18">
                  <c:v>June 2011</c:v>
                </c:pt>
                <c:pt idx="19">
                  <c:v>Dec. 2011</c:v>
                </c:pt>
                <c:pt idx="20">
                  <c:v>June 2012</c:v>
                </c:pt>
                <c:pt idx="21">
                  <c:v>Dec. 2012</c:v>
                </c:pt>
                <c:pt idx="22">
                  <c:v>June 2013</c:v>
                </c:pt>
                <c:pt idx="23">
                  <c:v>Dec. 2013</c:v>
                </c:pt>
                <c:pt idx="24">
                  <c:v>June 2014</c:v>
                </c:pt>
              </c:strCache>
            </c:strRef>
          </c:cat>
          <c:val>
            <c:numRef>
              <c:f>Summary!$B$233:$Z$233</c:f>
              <c:numCache>
                <c:formatCode>0.00%</c:formatCode>
                <c:ptCount val="25"/>
                <c:pt idx="0">
                  <c:v>0.1142</c:v>
                </c:pt>
                <c:pt idx="1">
                  <c:v>0.13725446228361288</c:v>
                </c:pt>
                <c:pt idx="2">
                  <c:v>0.1444065073307893</c:v>
                </c:pt>
                <c:pt idx="3">
                  <c:v>0.14349999999999999</c:v>
                </c:pt>
                <c:pt idx="4">
                  <c:v>0.14940000000000001</c:v>
                </c:pt>
                <c:pt idx="5">
                  <c:v>0.15060000000000001</c:v>
                </c:pt>
                <c:pt idx="6">
                  <c:v>0.15620000000000001</c:v>
                </c:pt>
                <c:pt idx="7">
                  <c:v>0.159</c:v>
                </c:pt>
                <c:pt idx="8">
                  <c:v>0.16539999999999999</c:v>
                </c:pt>
                <c:pt idx="9">
                  <c:v>0.16650000000000001</c:v>
                </c:pt>
                <c:pt idx="10">
                  <c:v>0.16900000000000001</c:v>
                </c:pt>
                <c:pt idx="11">
                  <c:v>0.17199999999999999</c:v>
                </c:pt>
                <c:pt idx="12">
                  <c:v>0.17299999999999999</c:v>
                </c:pt>
                <c:pt idx="13">
                  <c:v>0.17100000000000001</c:v>
                </c:pt>
                <c:pt idx="14">
                  <c:v>0.17899999999999999</c:v>
                </c:pt>
                <c:pt idx="15">
                  <c:v>0.17699999999999999</c:v>
                </c:pt>
                <c:pt idx="16">
                  <c:v>0.17599999999999999</c:v>
                </c:pt>
                <c:pt idx="17">
                  <c:v>0.17799999999999999</c:v>
                </c:pt>
                <c:pt idx="18">
                  <c:v>0.182</c:v>
                </c:pt>
                <c:pt idx="19">
                  <c:v>0.186</c:v>
                </c:pt>
                <c:pt idx="20">
                  <c:v>0.18</c:v>
                </c:pt>
                <c:pt idx="21">
                  <c:v>0.17599999999999999</c:v>
                </c:pt>
                <c:pt idx="22">
                  <c:v>0.182</c:v>
                </c:pt>
                <c:pt idx="23" formatCode="0.0%">
                  <c:v>0.17899999999999999</c:v>
                </c:pt>
                <c:pt idx="24" formatCode="0.0%">
                  <c:v>0.17899999999999999</c:v>
                </c:pt>
              </c:numCache>
            </c:numRef>
          </c:val>
        </c:ser>
        <c:dLbls>
          <c:showLegendKey val="0"/>
          <c:showVal val="0"/>
          <c:showCatName val="0"/>
          <c:showSerName val="0"/>
          <c:showPercent val="0"/>
          <c:showBubbleSize val="0"/>
        </c:dLbls>
        <c:gapWidth val="75"/>
        <c:shape val="box"/>
        <c:axId val="142138368"/>
        <c:axId val="142144256"/>
        <c:axId val="0"/>
      </c:bar3DChart>
      <c:catAx>
        <c:axId val="142138368"/>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ysClr val="windowText" lastClr="000000"/>
                </a:solidFill>
                <a:latin typeface="Calibri"/>
                <a:ea typeface="Calibri"/>
                <a:cs typeface="Calibri"/>
              </a:defRPr>
            </a:pPr>
            <a:endParaRPr lang="en-US"/>
          </a:p>
        </c:txPr>
        <c:crossAx val="142144256"/>
        <c:crosses val="autoZero"/>
        <c:auto val="1"/>
        <c:lblAlgn val="ctr"/>
        <c:lblOffset val="100"/>
        <c:noMultiLvlLbl val="0"/>
      </c:catAx>
      <c:valAx>
        <c:axId val="142144256"/>
        <c:scaling>
          <c:orientation val="minMax"/>
          <c:min val="4.0000000000000008E-2"/>
        </c:scaling>
        <c:delete val="0"/>
        <c:axPos val="l"/>
        <c:majorGridlines/>
        <c:numFmt formatCode="0.00%" sourceLinked="1"/>
        <c:majorTickMark val="none"/>
        <c:minorTickMark val="none"/>
        <c:tickLblPos val="nextTo"/>
        <c:txPr>
          <a:bodyPr rot="0" vert="horz"/>
          <a:lstStyle/>
          <a:p>
            <a:pPr>
              <a:defRPr sz="1000" b="1" i="0" u="none" strike="noStrike" baseline="0">
                <a:solidFill>
                  <a:sysClr val="windowText" lastClr="000000"/>
                </a:solidFill>
                <a:latin typeface="Calibri"/>
                <a:ea typeface="Calibri"/>
                <a:cs typeface="Calibri"/>
              </a:defRPr>
            </a:pPr>
            <a:endParaRPr lang="en-US"/>
          </a:p>
        </c:txPr>
        <c:crossAx val="142138368"/>
        <c:crosses val="autoZero"/>
        <c:crossBetween val="between"/>
      </c:valAx>
      <c:spPr>
        <a:noFill/>
        <a:ln w="25400">
          <a:noFill/>
        </a:ln>
      </c:spPr>
    </c:plotArea>
    <c:legend>
      <c:legendPos val="b"/>
      <c:overlay val="0"/>
      <c:txPr>
        <a:bodyPr/>
        <a:lstStyle/>
        <a:p>
          <a:pPr>
            <a:defRPr sz="1600" b="0" i="0" u="none" strike="noStrike" baseline="0">
              <a:solidFill>
                <a:schemeClr val="tx2"/>
              </a:solidFill>
              <a:latin typeface="Calibri"/>
              <a:ea typeface="Calibri"/>
              <a:cs typeface="Calibri"/>
            </a:defRPr>
          </a:pPr>
          <a:endParaRPr lang="en-US"/>
        </a:p>
      </c:txPr>
    </c:legend>
    <c:plotVisOnly val="1"/>
    <c:dispBlanksAs val="gap"/>
    <c:showDLblsOverMax val="0"/>
  </c:chart>
  <c:spPr>
    <a:noFill/>
  </c:spPr>
  <c:txPr>
    <a:bodyPr/>
    <a:lstStyle/>
    <a:p>
      <a:pPr>
        <a:defRPr sz="1000" b="0" i="0" u="none" strike="noStrike" baseline="0">
          <a:solidFill>
            <a:srgbClr val="FFFFFF"/>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New Jersey Monthly Medicare Utilization</a:t>
            </a:r>
          </a:p>
          <a:p>
            <a:pPr>
              <a:defRPr/>
            </a:pPr>
            <a:r>
              <a:rPr lang="en-US"/>
              <a:t>December 2001-June 2014 </a:t>
            </a:r>
          </a:p>
        </c:rich>
      </c:tx>
      <c:overlay val="0"/>
    </c:title>
    <c:autoTitleDeleted val="0"/>
    <c:plotArea>
      <c:layout/>
      <c:lineChart>
        <c:grouping val="standard"/>
        <c:varyColors val="0"/>
        <c:ser>
          <c:idx val="0"/>
          <c:order val="0"/>
          <c:tx>
            <c:strRef>
              <c:f>Summary!$A$305</c:f>
              <c:strCache>
                <c:ptCount val="1"/>
                <c:pt idx="0">
                  <c:v>New Jersey Medicare Utilization</c:v>
                </c:pt>
              </c:strCache>
            </c:strRef>
          </c:tx>
          <c:marker>
            <c:symbol val="none"/>
          </c:marker>
          <c:cat>
            <c:strRef>
              <c:f>Summary!$B$304:$Z$304</c:f>
              <c:strCache>
                <c:ptCount val="25"/>
                <c:pt idx="0">
                  <c:v>Dec-01</c:v>
                </c:pt>
                <c:pt idx="1">
                  <c:v>Dec-02</c:v>
                </c:pt>
                <c:pt idx="2">
                  <c:v>Jun-03</c:v>
                </c:pt>
                <c:pt idx="3">
                  <c:v>Dec-03</c:v>
                </c:pt>
                <c:pt idx="4">
                  <c:v>Jun-04</c:v>
                </c:pt>
                <c:pt idx="5">
                  <c:v>Dec-04</c:v>
                </c:pt>
                <c:pt idx="6">
                  <c:v>Jun-05</c:v>
                </c:pt>
                <c:pt idx="7">
                  <c:v>Dec-05</c:v>
                </c:pt>
                <c:pt idx="8">
                  <c:v>Jun-06</c:v>
                </c:pt>
                <c:pt idx="9">
                  <c:v>Dec-06</c:v>
                </c:pt>
                <c:pt idx="10">
                  <c:v>Jun-07</c:v>
                </c:pt>
                <c:pt idx="11">
                  <c:v>Dec-07</c:v>
                </c:pt>
                <c:pt idx="12">
                  <c:v>Jun-08</c:v>
                </c:pt>
                <c:pt idx="13">
                  <c:v>Dec-08</c:v>
                </c:pt>
                <c:pt idx="14">
                  <c:v>Jun-09</c:v>
                </c:pt>
                <c:pt idx="15">
                  <c:v>Dec-09</c:v>
                </c:pt>
                <c:pt idx="16">
                  <c:v>Jun-10</c:v>
                </c:pt>
                <c:pt idx="17">
                  <c:v>Dec-10</c:v>
                </c:pt>
                <c:pt idx="18">
                  <c:v>Jun-11</c:v>
                </c:pt>
                <c:pt idx="19">
                  <c:v>Dec-11</c:v>
                </c:pt>
                <c:pt idx="20">
                  <c:v>Jun-12</c:v>
                </c:pt>
                <c:pt idx="21">
                  <c:v>Dec-12</c:v>
                </c:pt>
                <c:pt idx="22">
                  <c:v>Jun-13</c:v>
                </c:pt>
                <c:pt idx="23">
                  <c:v>Dec-13</c:v>
                </c:pt>
                <c:pt idx="24">
                  <c:v>Jun-14</c:v>
                </c:pt>
              </c:strCache>
            </c:strRef>
          </c:cat>
          <c:val>
            <c:numRef>
              <c:f>Summary!$B$305:$Z$305</c:f>
              <c:numCache>
                <c:formatCode>#,##0</c:formatCode>
                <c:ptCount val="25"/>
                <c:pt idx="0">
                  <c:v>5120.8422</c:v>
                </c:pt>
                <c:pt idx="1">
                  <c:v>6097.9412503363528</c:v>
                </c:pt>
                <c:pt idx="2">
                  <c:v>6470.9999999999991</c:v>
                </c:pt>
                <c:pt idx="3">
                  <c:v>6369.1039999999994</c:v>
                </c:pt>
                <c:pt idx="4">
                  <c:v>6658.6086000000005</c:v>
                </c:pt>
                <c:pt idx="5">
                  <c:v>6729.5610000000006</c:v>
                </c:pt>
                <c:pt idx="6">
                  <c:v>6985.2640000000001</c:v>
                </c:pt>
                <c:pt idx="7">
                  <c:v>7135.4430000000002</c:v>
                </c:pt>
                <c:pt idx="8">
                  <c:v>7503.8671999999997</c:v>
                </c:pt>
                <c:pt idx="9">
                  <c:v>7603.5555000000004</c:v>
                </c:pt>
                <c:pt idx="10">
                  <c:v>7639.9830000000002</c:v>
                </c:pt>
                <c:pt idx="11">
                  <c:v>7779.7319999999991</c:v>
                </c:pt>
                <c:pt idx="12">
                  <c:v>7927.5519999999997</c:v>
                </c:pt>
                <c:pt idx="13">
                  <c:v>7856.7660000000005</c:v>
                </c:pt>
                <c:pt idx="14">
                  <c:v>8227.9139999999989</c:v>
                </c:pt>
                <c:pt idx="15">
                  <c:v>8104.4759999999997</c:v>
                </c:pt>
                <c:pt idx="16">
                  <c:v>8057.4559999999992</c:v>
                </c:pt>
                <c:pt idx="17">
                  <c:v>8170.9119999999994</c:v>
                </c:pt>
                <c:pt idx="18">
                  <c:v>8334.5079999999998</c:v>
                </c:pt>
                <c:pt idx="19">
                  <c:v>8460.768</c:v>
                </c:pt>
                <c:pt idx="20">
                  <c:v>8162.82</c:v>
                </c:pt>
                <c:pt idx="21">
                  <c:v>8007.6479999999992</c:v>
                </c:pt>
                <c:pt idx="22">
                  <c:v>8294.1039999999994</c:v>
                </c:pt>
                <c:pt idx="23">
                  <c:v>8128.9269999999997</c:v>
                </c:pt>
                <c:pt idx="24" formatCode="General">
                  <c:v>8154</c:v>
                </c:pt>
              </c:numCache>
            </c:numRef>
          </c:val>
          <c:smooth val="0"/>
        </c:ser>
        <c:dLbls>
          <c:showLegendKey val="0"/>
          <c:showVal val="0"/>
          <c:showCatName val="0"/>
          <c:showSerName val="0"/>
          <c:showPercent val="0"/>
          <c:showBubbleSize val="0"/>
        </c:dLbls>
        <c:marker val="1"/>
        <c:smooth val="0"/>
        <c:axId val="207561472"/>
        <c:axId val="207563008"/>
      </c:lineChart>
      <c:catAx>
        <c:axId val="207561472"/>
        <c:scaling>
          <c:orientation val="minMax"/>
        </c:scaling>
        <c:delete val="0"/>
        <c:axPos val="b"/>
        <c:numFmt formatCode="General" sourceLinked="1"/>
        <c:majorTickMark val="out"/>
        <c:minorTickMark val="none"/>
        <c:tickLblPos val="nextTo"/>
        <c:txPr>
          <a:bodyPr/>
          <a:lstStyle/>
          <a:p>
            <a:pPr>
              <a:defRPr b="1"/>
            </a:pPr>
            <a:endParaRPr lang="en-US"/>
          </a:p>
        </c:txPr>
        <c:crossAx val="207563008"/>
        <c:crosses val="autoZero"/>
        <c:auto val="1"/>
        <c:lblAlgn val="ctr"/>
        <c:lblOffset val="100"/>
        <c:noMultiLvlLbl val="0"/>
      </c:catAx>
      <c:valAx>
        <c:axId val="207563008"/>
        <c:scaling>
          <c:orientation val="minMax"/>
          <c:min val="4000"/>
        </c:scaling>
        <c:delete val="0"/>
        <c:axPos val="l"/>
        <c:majorGridlines/>
        <c:numFmt formatCode="#,##0" sourceLinked="1"/>
        <c:majorTickMark val="out"/>
        <c:minorTickMark val="none"/>
        <c:tickLblPos val="nextTo"/>
        <c:txPr>
          <a:bodyPr/>
          <a:lstStyle/>
          <a:p>
            <a:pPr>
              <a:defRPr b="1"/>
            </a:pPr>
            <a:endParaRPr lang="en-US"/>
          </a:p>
        </c:txPr>
        <c:crossAx val="20756147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New Jersey Non-Medicare Utilization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December 2001-June 2014 </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2135070457964906"/>
          <c:y val="3.2407398779294598E-2"/>
        </c:manualLayout>
      </c:layout>
      <c:overlay val="0"/>
    </c:title>
    <c:autoTitleDeleted val="0"/>
    <c:plotArea>
      <c:layout/>
      <c:lineChart>
        <c:grouping val="standard"/>
        <c:varyColors val="0"/>
        <c:ser>
          <c:idx val="0"/>
          <c:order val="0"/>
          <c:tx>
            <c:strRef>
              <c:f>Summary!$A$310</c:f>
              <c:strCache>
                <c:ptCount val="1"/>
                <c:pt idx="0">
                  <c:v>New Jersey Non-Medicare Utilization</c:v>
                </c:pt>
              </c:strCache>
            </c:strRef>
          </c:tx>
          <c:marker>
            <c:symbol val="none"/>
          </c:marker>
          <c:cat>
            <c:strRef>
              <c:f>Summary!$B$309:$Z$309</c:f>
              <c:strCache>
                <c:ptCount val="25"/>
                <c:pt idx="0">
                  <c:v>Dec-01</c:v>
                </c:pt>
                <c:pt idx="1">
                  <c:v>Dec-02</c:v>
                </c:pt>
                <c:pt idx="2">
                  <c:v>Jun-03</c:v>
                </c:pt>
                <c:pt idx="3">
                  <c:v>Dec-03</c:v>
                </c:pt>
                <c:pt idx="4">
                  <c:v>Jun-04</c:v>
                </c:pt>
                <c:pt idx="5">
                  <c:v>Dec-04</c:v>
                </c:pt>
                <c:pt idx="6">
                  <c:v>Jun-05</c:v>
                </c:pt>
                <c:pt idx="7">
                  <c:v>Dec-05</c:v>
                </c:pt>
                <c:pt idx="8">
                  <c:v>Jun-06</c:v>
                </c:pt>
                <c:pt idx="9">
                  <c:v>Dec-06</c:v>
                </c:pt>
                <c:pt idx="10">
                  <c:v>Jun-07</c:v>
                </c:pt>
                <c:pt idx="11">
                  <c:v>Dec-07</c:v>
                </c:pt>
                <c:pt idx="12">
                  <c:v>Jun-08</c:v>
                </c:pt>
                <c:pt idx="13">
                  <c:v>Dec-08</c:v>
                </c:pt>
                <c:pt idx="14">
                  <c:v>Jun-09</c:v>
                </c:pt>
                <c:pt idx="15">
                  <c:v>Dec-09</c:v>
                </c:pt>
                <c:pt idx="16">
                  <c:v>Jun-10</c:v>
                </c:pt>
                <c:pt idx="17">
                  <c:v>Dec-10</c:v>
                </c:pt>
                <c:pt idx="18">
                  <c:v>Jun-11</c:v>
                </c:pt>
                <c:pt idx="19">
                  <c:v>Dec-11</c:v>
                </c:pt>
                <c:pt idx="20">
                  <c:v>Jun-12</c:v>
                </c:pt>
                <c:pt idx="21">
                  <c:v>Dec-12</c:v>
                </c:pt>
                <c:pt idx="22">
                  <c:v>Jun-13</c:v>
                </c:pt>
                <c:pt idx="23">
                  <c:v>Dec-13</c:v>
                </c:pt>
                <c:pt idx="24">
                  <c:v>Jun-14</c:v>
                </c:pt>
              </c:strCache>
            </c:strRef>
          </c:cat>
          <c:val>
            <c:numRef>
              <c:f>Summary!$B$310:$Z$310</c:f>
              <c:numCache>
                <c:formatCode>#,##0</c:formatCode>
                <c:ptCount val="25"/>
                <c:pt idx="0">
                  <c:v>39720.157800000001</c:v>
                </c:pt>
                <c:pt idx="1">
                  <c:v>38330.058749663644</c:v>
                </c:pt>
                <c:pt idx="2">
                  <c:v>38340</c:v>
                </c:pt>
                <c:pt idx="3">
                  <c:v>38014.896000000001</c:v>
                </c:pt>
                <c:pt idx="4">
                  <c:v>37910.3914</c:v>
                </c:pt>
                <c:pt idx="5">
                  <c:v>37955.438999999998</c:v>
                </c:pt>
                <c:pt idx="6">
                  <c:v>37734.735999999997</c:v>
                </c:pt>
                <c:pt idx="7">
                  <c:v>37741.557000000001</c:v>
                </c:pt>
                <c:pt idx="8">
                  <c:v>37864.132799999999</c:v>
                </c:pt>
                <c:pt idx="9">
                  <c:v>38063.444499999998</c:v>
                </c:pt>
                <c:pt idx="10">
                  <c:v>37567.017</c:v>
                </c:pt>
                <c:pt idx="11">
                  <c:v>37451.268000000004</c:v>
                </c:pt>
                <c:pt idx="12">
                  <c:v>37896.448000000004</c:v>
                </c:pt>
                <c:pt idx="13">
                  <c:v>38089.233999999997</c:v>
                </c:pt>
                <c:pt idx="14">
                  <c:v>37738.086000000003</c:v>
                </c:pt>
                <c:pt idx="15">
                  <c:v>37683.523999999998</c:v>
                </c:pt>
                <c:pt idx="16">
                  <c:v>37723.544000000002</c:v>
                </c:pt>
                <c:pt idx="17">
                  <c:v>37733.088000000003</c:v>
                </c:pt>
                <c:pt idx="18">
                  <c:v>37459.491999999998</c:v>
                </c:pt>
                <c:pt idx="19">
                  <c:v>37027.232000000004</c:v>
                </c:pt>
                <c:pt idx="20">
                  <c:v>37186.18</c:v>
                </c:pt>
                <c:pt idx="21">
                  <c:v>37490.351999999999</c:v>
                </c:pt>
                <c:pt idx="22">
                  <c:v>37277.896000000001</c:v>
                </c:pt>
                <c:pt idx="23">
                  <c:v>37284.073000000004</c:v>
                </c:pt>
                <c:pt idx="24" formatCode="General">
                  <c:v>37343</c:v>
                </c:pt>
              </c:numCache>
            </c:numRef>
          </c:val>
          <c:smooth val="0"/>
        </c:ser>
        <c:dLbls>
          <c:showLegendKey val="0"/>
          <c:showVal val="0"/>
          <c:showCatName val="0"/>
          <c:showSerName val="0"/>
          <c:showPercent val="0"/>
          <c:showBubbleSize val="0"/>
        </c:dLbls>
        <c:marker val="1"/>
        <c:smooth val="0"/>
        <c:axId val="207575296"/>
        <c:axId val="207581184"/>
      </c:lineChart>
      <c:catAx>
        <c:axId val="207575296"/>
        <c:scaling>
          <c:orientation val="minMax"/>
        </c:scaling>
        <c:delete val="0"/>
        <c:axPos val="b"/>
        <c:numFmt formatCode="General" sourceLinked="1"/>
        <c:majorTickMark val="out"/>
        <c:minorTickMark val="none"/>
        <c:tickLblPos val="nextTo"/>
        <c:txPr>
          <a:bodyPr/>
          <a:lstStyle/>
          <a:p>
            <a:pPr>
              <a:defRPr b="1"/>
            </a:pPr>
            <a:endParaRPr lang="en-US"/>
          </a:p>
        </c:txPr>
        <c:crossAx val="207581184"/>
        <c:crosses val="autoZero"/>
        <c:auto val="1"/>
        <c:lblAlgn val="ctr"/>
        <c:lblOffset val="100"/>
        <c:noMultiLvlLbl val="0"/>
      </c:catAx>
      <c:valAx>
        <c:axId val="207581184"/>
        <c:scaling>
          <c:orientation val="minMax"/>
          <c:min val="36000"/>
        </c:scaling>
        <c:delete val="0"/>
        <c:axPos val="l"/>
        <c:majorGridlines/>
        <c:numFmt formatCode="#,##0" sourceLinked="1"/>
        <c:majorTickMark val="out"/>
        <c:minorTickMark val="none"/>
        <c:tickLblPos val="nextTo"/>
        <c:txPr>
          <a:bodyPr/>
          <a:lstStyle/>
          <a:p>
            <a:pPr>
              <a:defRPr b="1"/>
            </a:pPr>
            <a:endParaRPr lang="en-US"/>
          </a:p>
        </c:txPr>
        <c:crossAx val="2075752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290F-7D75-4399-ACC6-AC97BAEC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Cissyleslie</dc:creator>
  <cp:lastModifiedBy>Cissyleslie</cp:lastModifiedBy>
  <cp:revision>3</cp:revision>
  <cp:lastPrinted>2014-09-20T14:46:00Z</cp:lastPrinted>
  <dcterms:created xsi:type="dcterms:W3CDTF">2014-10-16T18:26:00Z</dcterms:created>
  <dcterms:modified xsi:type="dcterms:W3CDTF">2014-10-17T14:33:00Z</dcterms:modified>
</cp:coreProperties>
</file>